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宋体"/>
          <w:b/>
          <w:sz w:val="72"/>
          <w:szCs w:val="100"/>
        </w:rPr>
      </w:pPr>
      <w:bookmarkStart w:id="9" w:name="_GoBack"/>
      <w:bookmarkEnd w:id="9"/>
    </w:p>
    <w:p>
      <w:pPr>
        <w:spacing w:line="360" w:lineRule="exact"/>
        <w:rPr>
          <w:rFonts w:ascii="宋体"/>
          <w:b/>
          <w:sz w:val="72"/>
          <w:szCs w:val="100"/>
        </w:rPr>
      </w:pPr>
    </w:p>
    <w:p>
      <w:pPr>
        <w:jc w:val="center"/>
        <w:rPr>
          <w:rFonts w:ascii="宋体" w:hAnsi="宋体"/>
          <w:b/>
          <w:sz w:val="52"/>
          <w:szCs w:val="52"/>
        </w:rPr>
      </w:pPr>
      <w:r>
        <w:rPr>
          <w:rFonts w:hint="eastAsia" w:ascii="宋体" w:hAnsi="宋体"/>
          <w:b/>
          <w:sz w:val="52"/>
          <w:szCs w:val="52"/>
        </w:rPr>
        <w:t>南通阳光养老产业集团有限公司</w:t>
      </w:r>
    </w:p>
    <w:p>
      <w:pPr>
        <w:jc w:val="center"/>
        <w:rPr>
          <w:rFonts w:ascii="宋体"/>
          <w:b/>
          <w:sz w:val="52"/>
          <w:szCs w:val="52"/>
        </w:rPr>
      </w:pPr>
    </w:p>
    <w:p>
      <w:pPr>
        <w:jc w:val="center"/>
        <w:rPr>
          <w:rFonts w:ascii="宋体"/>
          <w:b/>
          <w:sz w:val="52"/>
          <w:szCs w:val="52"/>
        </w:rPr>
      </w:pPr>
    </w:p>
    <w:p>
      <w:pPr>
        <w:jc w:val="center"/>
        <w:rPr>
          <w:rFonts w:ascii="宋体"/>
          <w:b/>
          <w:sz w:val="52"/>
          <w:szCs w:val="52"/>
        </w:rPr>
      </w:pPr>
    </w:p>
    <w:p>
      <w:pPr>
        <w:jc w:val="center"/>
        <w:rPr>
          <w:rFonts w:ascii="宋体"/>
          <w:b/>
          <w:sz w:val="52"/>
          <w:szCs w:val="52"/>
        </w:rPr>
      </w:pPr>
      <w:r>
        <w:rPr>
          <w:rFonts w:hint="eastAsia" w:ascii="宋体" w:hAnsi="宋体"/>
          <w:b/>
          <w:sz w:val="72"/>
          <w:szCs w:val="72"/>
        </w:rPr>
        <w:t>电梯维保招标文件</w:t>
      </w:r>
    </w:p>
    <w:p>
      <w:pPr>
        <w:spacing w:line="360" w:lineRule="exact"/>
        <w:jc w:val="center"/>
        <w:rPr>
          <w:rFonts w:ascii="宋体"/>
          <w:b/>
          <w:sz w:val="30"/>
        </w:rPr>
      </w:pPr>
    </w:p>
    <w:p>
      <w:pPr>
        <w:spacing w:line="360" w:lineRule="exact"/>
        <w:jc w:val="left"/>
        <w:rPr>
          <w:rFonts w:ascii="宋体"/>
          <w:b/>
          <w:sz w:val="30"/>
        </w:rPr>
      </w:pPr>
    </w:p>
    <w:p>
      <w:pPr>
        <w:spacing w:line="360" w:lineRule="exact"/>
        <w:jc w:val="left"/>
        <w:rPr>
          <w:rFonts w:ascii="宋体"/>
          <w:b/>
          <w:sz w:val="30"/>
        </w:rPr>
      </w:pPr>
    </w:p>
    <w:p>
      <w:pPr>
        <w:spacing w:line="360" w:lineRule="exact"/>
        <w:jc w:val="left"/>
        <w:rPr>
          <w:rFonts w:ascii="宋体"/>
          <w:b/>
          <w:sz w:val="30"/>
        </w:rPr>
      </w:pPr>
    </w:p>
    <w:p>
      <w:pPr>
        <w:spacing w:line="360" w:lineRule="exact"/>
        <w:jc w:val="left"/>
        <w:rPr>
          <w:rFonts w:ascii="宋体"/>
          <w:b/>
          <w:sz w:val="30"/>
        </w:rPr>
      </w:pPr>
    </w:p>
    <w:p>
      <w:pPr>
        <w:spacing w:line="360" w:lineRule="exact"/>
        <w:jc w:val="left"/>
        <w:rPr>
          <w:rFonts w:ascii="宋体"/>
          <w:b/>
          <w:sz w:val="30"/>
        </w:rPr>
      </w:pPr>
    </w:p>
    <w:p>
      <w:pPr>
        <w:spacing w:line="360" w:lineRule="exact"/>
        <w:jc w:val="left"/>
        <w:rPr>
          <w:rFonts w:ascii="宋体"/>
          <w:b/>
          <w:sz w:val="30"/>
        </w:rPr>
      </w:pPr>
    </w:p>
    <w:p>
      <w:pPr>
        <w:spacing w:line="360" w:lineRule="exact"/>
        <w:jc w:val="left"/>
        <w:rPr>
          <w:rFonts w:ascii="宋体"/>
          <w:b/>
          <w:sz w:val="30"/>
        </w:rPr>
      </w:pPr>
    </w:p>
    <w:p>
      <w:pPr>
        <w:spacing w:line="360" w:lineRule="exact"/>
        <w:jc w:val="center"/>
        <w:rPr>
          <w:rFonts w:ascii="宋体"/>
          <w:sz w:val="32"/>
          <w:szCs w:val="32"/>
        </w:rPr>
      </w:pPr>
    </w:p>
    <w:p>
      <w:pPr>
        <w:spacing w:line="360" w:lineRule="exact"/>
        <w:jc w:val="center"/>
        <w:rPr>
          <w:rFonts w:ascii="宋体"/>
          <w:sz w:val="32"/>
          <w:szCs w:val="32"/>
        </w:rPr>
      </w:pPr>
    </w:p>
    <w:p>
      <w:pPr>
        <w:spacing w:line="360" w:lineRule="exact"/>
        <w:jc w:val="center"/>
        <w:rPr>
          <w:rFonts w:ascii="宋体"/>
          <w:sz w:val="30"/>
        </w:rPr>
      </w:pPr>
    </w:p>
    <w:p>
      <w:pPr>
        <w:spacing w:line="360" w:lineRule="exact"/>
        <w:jc w:val="center"/>
        <w:rPr>
          <w:rFonts w:ascii="宋体"/>
          <w:sz w:val="30"/>
        </w:rPr>
      </w:pPr>
      <w:r>
        <w:rPr>
          <w:rFonts w:ascii="宋体" w:hAnsi="宋体"/>
          <w:sz w:val="30"/>
        </w:rPr>
        <w:t xml:space="preserve"> </w:t>
      </w:r>
    </w:p>
    <w:p>
      <w:pPr>
        <w:spacing w:line="360" w:lineRule="exact"/>
        <w:jc w:val="center"/>
        <w:rPr>
          <w:rFonts w:ascii="宋体"/>
          <w:sz w:val="30"/>
        </w:rPr>
      </w:pPr>
    </w:p>
    <w:p>
      <w:pPr>
        <w:spacing w:line="360" w:lineRule="exact"/>
        <w:rPr>
          <w:rFonts w:ascii="宋体"/>
          <w:sz w:val="30"/>
        </w:rPr>
      </w:pPr>
    </w:p>
    <w:p>
      <w:pPr>
        <w:spacing w:line="360" w:lineRule="exact"/>
        <w:jc w:val="center"/>
        <w:rPr>
          <w:rFonts w:ascii="宋体"/>
          <w:sz w:val="30"/>
        </w:rPr>
      </w:pPr>
    </w:p>
    <w:p>
      <w:pPr>
        <w:ind w:firstLine="1678" w:firstLineChars="597"/>
        <w:rPr>
          <w:rFonts w:ascii="宋体"/>
          <w:b/>
          <w:sz w:val="28"/>
          <w:szCs w:val="28"/>
        </w:rPr>
      </w:pPr>
      <w:r>
        <w:rPr>
          <w:rFonts w:hint="eastAsia" w:ascii="宋体" w:hAnsi="宋体"/>
          <w:b/>
          <w:bCs/>
          <w:sz w:val="28"/>
          <w:szCs w:val="28"/>
        </w:rPr>
        <w:t>招标单位：</w:t>
      </w:r>
      <w:r>
        <w:rPr>
          <w:rFonts w:hint="eastAsia" w:ascii="宋体" w:hAnsi="宋体"/>
          <w:b/>
          <w:sz w:val="28"/>
          <w:szCs w:val="28"/>
        </w:rPr>
        <w:t>南通市阳光养老产业集团有限公司</w:t>
      </w:r>
    </w:p>
    <w:p>
      <w:pPr>
        <w:spacing w:line="500" w:lineRule="exact"/>
        <w:ind w:right="596" w:rightChars="284"/>
        <w:rPr>
          <w:rFonts w:ascii="宋体"/>
          <w:b/>
          <w:bCs/>
          <w:sz w:val="36"/>
          <w:szCs w:val="36"/>
        </w:rPr>
      </w:pPr>
      <w:r>
        <w:rPr>
          <w:rFonts w:ascii="宋体" w:hAnsi="宋体"/>
          <w:b/>
          <w:bCs/>
          <w:sz w:val="36"/>
          <w:szCs w:val="36"/>
        </w:rPr>
        <w:t xml:space="preserve">       </w:t>
      </w:r>
    </w:p>
    <w:p>
      <w:pPr>
        <w:pStyle w:val="13"/>
        <w:spacing w:before="0" w:beforeAutospacing="0" w:after="0" w:afterAutospacing="0" w:line="460" w:lineRule="exact"/>
        <w:jc w:val="center"/>
        <w:rPr>
          <w:rFonts w:ascii="宋体"/>
          <w:b/>
          <w:bCs/>
          <w:sz w:val="32"/>
        </w:rPr>
      </w:pPr>
      <w:r>
        <w:rPr>
          <w:rFonts w:ascii="宋体" w:hAnsi="宋体"/>
          <w:b/>
          <w:snapToGrid w:val="0"/>
          <w:color w:val="000000"/>
          <w:sz w:val="26"/>
          <w:szCs w:val="28"/>
        </w:rPr>
        <w:t xml:space="preserve">   </w:t>
      </w:r>
      <w:r>
        <w:rPr>
          <w:rFonts w:ascii="宋体" w:hAnsi="宋体"/>
          <w:b/>
          <w:snapToGrid w:val="0"/>
          <w:color w:val="000000"/>
          <w:sz w:val="30"/>
          <w:szCs w:val="30"/>
        </w:rPr>
        <w:t>20</w:t>
      </w:r>
      <w:r>
        <w:rPr>
          <w:rFonts w:hint="eastAsia" w:ascii="宋体" w:hAnsi="宋体"/>
          <w:b/>
          <w:snapToGrid w:val="0"/>
          <w:color w:val="000000"/>
          <w:sz w:val="30"/>
          <w:szCs w:val="30"/>
        </w:rPr>
        <w:t>20年01月31日</w:t>
      </w:r>
      <w:r>
        <w:rPr>
          <w:rFonts w:ascii="宋体" w:hAnsi="宋体"/>
          <w:b/>
          <w:snapToGrid w:val="0"/>
          <w:color w:val="000000"/>
          <w:sz w:val="30"/>
          <w:szCs w:val="30"/>
        </w:rPr>
        <w:t xml:space="preserve">            </w:t>
      </w:r>
    </w:p>
    <w:p>
      <w:pPr>
        <w:spacing w:line="360" w:lineRule="auto"/>
        <w:jc w:val="center"/>
        <w:rPr>
          <w:rFonts w:ascii="宋体"/>
          <w:b/>
          <w:bCs/>
          <w:sz w:val="44"/>
          <w:szCs w:val="44"/>
        </w:rPr>
      </w:pPr>
    </w:p>
    <w:p>
      <w:pPr>
        <w:spacing w:line="360" w:lineRule="auto"/>
        <w:jc w:val="center"/>
        <w:rPr>
          <w:rFonts w:ascii="宋体"/>
          <w:b/>
          <w:bCs/>
          <w:sz w:val="44"/>
          <w:szCs w:val="44"/>
        </w:rPr>
      </w:pPr>
    </w:p>
    <w:p>
      <w:pPr>
        <w:spacing w:line="360" w:lineRule="auto"/>
        <w:rPr>
          <w:rFonts w:ascii="宋体"/>
          <w:b/>
          <w:bCs/>
          <w:sz w:val="44"/>
          <w:szCs w:val="44"/>
        </w:rPr>
      </w:pPr>
    </w:p>
    <w:p>
      <w:pPr>
        <w:spacing w:line="360" w:lineRule="auto"/>
        <w:jc w:val="center"/>
        <w:rPr>
          <w:rFonts w:ascii="宋体"/>
          <w:b/>
          <w:bCs/>
          <w:sz w:val="44"/>
          <w:szCs w:val="44"/>
        </w:rPr>
      </w:pPr>
      <w:r>
        <w:rPr>
          <w:rFonts w:hint="eastAsia" w:ascii="宋体" w:hAnsi="宋体"/>
          <w:b/>
          <w:bCs/>
          <w:sz w:val="44"/>
          <w:szCs w:val="44"/>
        </w:rPr>
        <w:t>第一部分</w:t>
      </w:r>
      <w:r>
        <w:rPr>
          <w:rFonts w:ascii="宋体" w:hAnsi="宋体"/>
          <w:b/>
          <w:bCs/>
          <w:sz w:val="44"/>
          <w:szCs w:val="44"/>
        </w:rPr>
        <w:t xml:space="preserve">  </w:t>
      </w:r>
      <w:bookmarkStart w:id="0" w:name="_Toc5578647"/>
      <w:bookmarkStart w:id="1" w:name="_Toc5575584"/>
      <w:bookmarkStart w:id="2" w:name="_Toc20564500"/>
      <w:bookmarkStart w:id="3" w:name="_Toc20144954"/>
      <w:bookmarkStart w:id="4" w:name="_Toc20571334"/>
      <w:bookmarkStart w:id="5" w:name="_Toc20564588"/>
      <w:r>
        <w:rPr>
          <w:rFonts w:hint="eastAsia" w:ascii="宋体" w:hAnsi="宋体"/>
          <w:b/>
          <w:bCs/>
          <w:sz w:val="44"/>
          <w:szCs w:val="44"/>
        </w:rPr>
        <w:t>招标公告</w:t>
      </w:r>
    </w:p>
    <w:p>
      <w:pPr>
        <w:numPr>
          <w:ilvl w:val="0"/>
          <w:numId w:val="1"/>
        </w:numPr>
        <w:spacing w:line="360" w:lineRule="auto"/>
        <w:ind w:firstLine="482" w:firstLineChars="200"/>
        <w:rPr>
          <w:rFonts w:ascii="宋体"/>
          <w:sz w:val="24"/>
        </w:rPr>
      </w:pPr>
      <w:r>
        <w:rPr>
          <w:rFonts w:hint="eastAsia" w:ascii="宋体" w:hAnsi="宋体"/>
          <w:b/>
          <w:sz w:val="24"/>
        </w:rPr>
        <w:t>项目名称：</w:t>
      </w:r>
      <w:r>
        <w:rPr>
          <w:rFonts w:hint="eastAsia" w:ascii="宋体" w:hAnsi="宋体"/>
          <w:sz w:val="24"/>
        </w:rPr>
        <w:t>南通市阳光养老产业集团有限公司电梯维保工程</w:t>
      </w:r>
    </w:p>
    <w:p>
      <w:pPr>
        <w:numPr>
          <w:ilvl w:val="0"/>
          <w:numId w:val="1"/>
        </w:numPr>
        <w:spacing w:line="360" w:lineRule="auto"/>
        <w:ind w:firstLine="482" w:firstLineChars="200"/>
        <w:rPr>
          <w:rFonts w:ascii="宋体"/>
          <w:b/>
          <w:sz w:val="24"/>
        </w:rPr>
      </w:pPr>
      <w:r>
        <w:rPr>
          <w:rFonts w:hint="eastAsia" w:ascii="宋体" w:hAnsi="宋体"/>
          <w:b/>
          <w:sz w:val="24"/>
        </w:rPr>
        <w:t>招标内容：</w:t>
      </w:r>
    </w:p>
    <w:tbl>
      <w:tblPr>
        <w:tblStyle w:val="16"/>
        <w:tblW w:w="10898" w:type="dxa"/>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96"/>
        <w:gridCol w:w="567"/>
        <w:gridCol w:w="709"/>
        <w:gridCol w:w="1559"/>
        <w:gridCol w:w="1439"/>
        <w:gridCol w:w="212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jc w:val="center"/>
              <w:rPr>
                <w:rFonts w:ascii="宋体" w:cs="宋体"/>
                <w:sz w:val="18"/>
                <w:szCs w:val="18"/>
              </w:rPr>
            </w:pPr>
            <w:r>
              <w:rPr>
                <w:rFonts w:hint="eastAsia" w:ascii="宋体" w:hAnsi="宋体" w:cs="Arial"/>
                <w:kern w:val="0"/>
                <w:sz w:val="18"/>
                <w:szCs w:val="21"/>
              </w:rPr>
              <w:t>名称</w:t>
            </w:r>
          </w:p>
        </w:tc>
        <w:tc>
          <w:tcPr>
            <w:tcW w:w="1296" w:type="dxa"/>
            <w:vAlign w:val="center"/>
          </w:tcPr>
          <w:p>
            <w:pPr>
              <w:widowControl/>
              <w:jc w:val="center"/>
              <w:rPr>
                <w:rFonts w:ascii="宋体" w:cs="宋体"/>
                <w:sz w:val="18"/>
                <w:szCs w:val="18"/>
              </w:rPr>
            </w:pPr>
            <w:r>
              <w:rPr>
                <w:rFonts w:hint="eastAsia" w:ascii="宋体" w:hAnsi="宋体" w:cs="Arial"/>
                <w:kern w:val="0"/>
                <w:sz w:val="18"/>
                <w:szCs w:val="21"/>
              </w:rPr>
              <w:t>电梯品牌</w:t>
            </w:r>
          </w:p>
        </w:tc>
        <w:tc>
          <w:tcPr>
            <w:tcW w:w="567" w:type="dxa"/>
            <w:vAlign w:val="center"/>
          </w:tcPr>
          <w:p>
            <w:pPr>
              <w:widowControl/>
              <w:jc w:val="center"/>
              <w:rPr>
                <w:rFonts w:ascii="宋体" w:cs="宋体"/>
                <w:sz w:val="18"/>
                <w:szCs w:val="18"/>
              </w:rPr>
            </w:pPr>
            <w:r>
              <w:rPr>
                <w:rFonts w:hint="eastAsia" w:ascii="宋体" w:hAnsi="宋体" w:cs="Arial"/>
                <w:kern w:val="0"/>
                <w:sz w:val="18"/>
                <w:szCs w:val="21"/>
              </w:rPr>
              <w:t>层数</w:t>
            </w:r>
          </w:p>
        </w:tc>
        <w:tc>
          <w:tcPr>
            <w:tcW w:w="709" w:type="dxa"/>
            <w:vAlign w:val="center"/>
          </w:tcPr>
          <w:p>
            <w:pPr>
              <w:widowControl/>
              <w:jc w:val="center"/>
              <w:rPr>
                <w:rFonts w:ascii="宋体" w:cs="宋体"/>
                <w:sz w:val="18"/>
                <w:szCs w:val="18"/>
              </w:rPr>
            </w:pPr>
            <w:r>
              <w:rPr>
                <w:rFonts w:hint="eastAsia" w:ascii="宋体" w:hAnsi="宋体" w:cs="Arial"/>
                <w:kern w:val="0"/>
                <w:sz w:val="18"/>
                <w:szCs w:val="21"/>
              </w:rPr>
              <w:t>数量</w:t>
            </w:r>
          </w:p>
        </w:tc>
        <w:tc>
          <w:tcPr>
            <w:tcW w:w="1559" w:type="dxa"/>
            <w:vAlign w:val="center"/>
          </w:tcPr>
          <w:p>
            <w:pPr>
              <w:widowControl/>
              <w:jc w:val="center"/>
              <w:rPr>
                <w:rFonts w:ascii="宋体" w:cs="宋体"/>
                <w:sz w:val="18"/>
                <w:szCs w:val="18"/>
              </w:rPr>
            </w:pPr>
            <w:r>
              <w:rPr>
                <w:rFonts w:hint="eastAsia" w:ascii="宋体" w:hAnsi="宋体" w:cs="Arial"/>
                <w:kern w:val="0"/>
                <w:sz w:val="18"/>
                <w:szCs w:val="21"/>
              </w:rPr>
              <w:t>每台维保单价</w:t>
            </w:r>
          </w:p>
        </w:tc>
        <w:tc>
          <w:tcPr>
            <w:tcW w:w="1439" w:type="dxa"/>
          </w:tcPr>
          <w:p>
            <w:pPr>
              <w:widowControl/>
              <w:spacing w:line="480" w:lineRule="auto"/>
              <w:jc w:val="center"/>
              <w:rPr>
                <w:rFonts w:ascii="宋体" w:cs="Arial"/>
                <w:kern w:val="0"/>
                <w:sz w:val="18"/>
                <w:szCs w:val="21"/>
              </w:rPr>
            </w:pPr>
            <w:r>
              <w:rPr>
                <w:rFonts w:hint="eastAsia" w:ascii="宋体" w:hAnsi="宋体" w:cs="Arial"/>
                <w:kern w:val="0"/>
                <w:sz w:val="18"/>
                <w:szCs w:val="21"/>
              </w:rPr>
              <w:t>合计</w:t>
            </w:r>
          </w:p>
        </w:tc>
        <w:tc>
          <w:tcPr>
            <w:tcW w:w="2126" w:type="dxa"/>
          </w:tcPr>
          <w:p>
            <w:pPr>
              <w:widowControl/>
              <w:spacing w:line="480" w:lineRule="auto"/>
              <w:jc w:val="center"/>
              <w:rPr>
                <w:rFonts w:hint="eastAsia" w:ascii="宋体" w:hAnsi="宋体" w:cs="Arial"/>
                <w:kern w:val="0"/>
                <w:sz w:val="18"/>
                <w:szCs w:val="21"/>
              </w:rPr>
            </w:pPr>
            <w:r>
              <w:rPr>
                <w:rFonts w:hint="eastAsia" w:ascii="宋体" w:hAnsi="宋体" w:cs="Arial"/>
                <w:kern w:val="0"/>
                <w:sz w:val="18"/>
                <w:szCs w:val="21"/>
              </w:rPr>
              <w:t>维保时间</w:t>
            </w:r>
          </w:p>
        </w:tc>
        <w:tc>
          <w:tcPr>
            <w:tcW w:w="1676" w:type="dxa"/>
            <w:vAlign w:val="center"/>
          </w:tcPr>
          <w:p>
            <w:pPr>
              <w:widowControl/>
              <w:jc w:val="center"/>
              <w:rPr>
                <w:rFonts w:ascii="宋体" w:cs="宋体"/>
                <w:sz w:val="18"/>
                <w:szCs w:val="18"/>
              </w:rPr>
            </w:pPr>
            <w:r>
              <w:rPr>
                <w:rFonts w:hint="eastAsia" w:ascii="宋体" w:hAnsi="宋体" w:cs="Arial"/>
                <w:kern w:val="0"/>
                <w:sz w:val="18"/>
                <w:szCs w:val="21"/>
              </w:rPr>
              <w:t>（规格型号）备注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widowControl/>
              <w:jc w:val="center"/>
              <w:rPr>
                <w:rFonts w:ascii="宋体" w:cs="宋体"/>
                <w:sz w:val="18"/>
                <w:szCs w:val="18"/>
              </w:rPr>
            </w:pPr>
            <w:r>
              <w:rPr>
                <w:rFonts w:hint="eastAsia" w:ascii="宋体" w:hAnsi="宋体" w:cs="宋体"/>
                <w:sz w:val="18"/>
                <w:szCs w:val="18"/>
              </w:rPr>
              <w:t>客</w:t>
            </w:r>
            <w:r>
              <w:rPr>
                <w:rFonts w:ascii="宋体" w:hAnsi="宋体" w:cs="宋体"/>
                <w:sz w:val="18"/>
                <w:szCs w:val="18"/>
              </w:rPr>
              <w:t xml:space="preserve"> </w:t>
            </w:r>
            <w:r>
              <w:rPr>
                <w:rFonts w:hint="eastAsia" w:ascii="宋体" w:hAnsi="宋体" w:cs="宋体"/>
                <w:sz w:val="18"/>
                <w:szCs w:val="18"/>
              </w:rPr>
              <w:t>梯</w:t>
            </w:r>
          </w:p>
        </w:tc>
        <w:tc>
          <w:tcPr>
            <w:tcW w:w="1296" w:type="dxa"/>
            <w:vAlign w:val="center"/>
          </w:tcPr>
          <w:p>
            <w:pPr>
              <w:widowControl/>
              <w:jc w:val="center"/>
              <w:rPr>
                <w:rFonts w:ascii="宋体" w:cs="宋体"/>
                <w:sz w:val="18"/>
                <w:szCs w:val="18"/>
              </w:rPr>
            </w:pPr>
            <w:r>
              <w:rPr>
                <w:rFonts w:hint="eastAsia" w:ascii="宋体" w:hAnsi="宋体" w:cs="宋体"/>
                <w:sz w:val="18"/>
                <w:szCs w:val="18"/>
              </w:rPr>
              <w:t>蒂森克虏伯</w:t>
            </w:r>
          </w:p>
        </w:tc>
        <w:tc>
          <w:tcPr>
            <w:tcW w:w="567" w:type="dxa"/>
            <w:vAlign w:val="center"/>
          </w:tcPr>
          <w:p>
            <w:pPr>
              <w:widowControl/>
              <w:jc w:val="center"/>
              <w:rPr>
                <w:rFonts w:ascii="宋体" w:cs="宋体"/>
                <w:sz w:val="18"/>
                <w:szCs w:val="18"/>
              </w:rPr>
            </w:pPr>
            <w:r>
              <w:rPr>
                <w:rFonts w:hint="eastAsia" w:ascii="宋体" w:cs="宋体"/>
                <w:sz w:val="18"/>
                <w:szCs w:val="18"/>
              </w:rPr>
              <w:t>11</w:t>
            </w:r>
          </w:p>
        </w:tc>
        <w:tc>
          <w:tcPr>
            <w:tcW w:w="709" w:type="dxa"/>
            <w:vAlign w:val="center"/>
          </w:tcPr>
          <w:p>
            <w:pPr>
              <w:widowControl/>
              <w:jc w:val="center"/>
              <w:rPr>
                <w:rFonts w:ascii="宋体" w:cs="宋体"/>
                <w:sz w:val="18"/>
                <w:szCs w:val="18"/>
              </w:rPr>
            </w:pPr>
            <w:r>
              <w:rPr>
                <w:rFonts w:hint="eastAsia" w:ascii="宋体" w:cs="宋体"/>
                <w:sz w:val="18"/>
                <w:szCs w:val="18"/>
              </w:rPr>
              <w:t>2台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restart"/>
          </w:tcPr>
          <w:p>
            <w:pPr>
              <w:widowControl/>
              <w:spacing w:line="720" w:lineRule="auto"/>
              <w:jc w:val="center"/>
              <w:rPr>
                <w:rFonts w:hint="eastAsia" w:ascii="宋体" w:hAnsi="宋体" w:cs="Arial"/>
                <w:kern w:val="0"/>
                <w:sz w:val="18"/>
                <w:szCs w:val="21"/>
              </w:rPr>
            </w:pPr>
            <w:r>
              <w:rPr>
                <w:rFonts w:hint="eastAsia" w:ascii="宋体" w:hAnsi="宋体" w:cs="Arial"/>
                <w:kern w:val="0"/>
                <w:sz w:val="18"/>
                <w:szCs w:val="21"/>
              </w:rPr>
              <w:t>2020.2.8-2021.5.31</w:t>
            </w:r>
          </w:p>
        </w:tc>
        <w:tc>
          <w:tcPr>
            <w:tcW w:w="1676" w:type="dxa"/>
            <w:vMerge w:val="restart"/>
            <w:vAlign w:val="center"/>
          </w:tcPr>
          <w:p>
            <w:pPr>
              <w:widowControl/>
              <w:jc w:val="center"/>
              <w:rPr>
                <w:rFonts w:ascii="宋体" w:cs="宋体"/>
                <w:sz w:val="18"/>
                <w:szCs w:val="18"/>
              </w:rPr>
            </w:pPr>
            <w:r>
              <w:rPr>
                <w:rFonts w:hint="eastAsia" w:ascii="宋体" w:hAnsi="宋体" w:cs="Arial"/>
                <w:kern w:val="0"/>
                <w:sz w:val="18"/>
                <w:szCs w:val="21"/>
              </w:rPr>
              <w:t>因疫情原因养老机构封闭管理，不支持现场踏勘，联系后勤保障部施捷18761701050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hAnsi="宋体" w:cs="宋体"/>
                <w:sz w:val="18"/>
                <w:szCs w:val="18"/>
              </w:rPr>
              <w:t>蒂森克虏伯</w:t>
            </w:r>
          </w:p>
        </w:tc>
        <w:tc>
          <w:tcPr>
            <w:tcW w:w="567" w:type="dxa"/>
            <w:vAlign w:val="center"/>
          </w:tcPr>
          <w:p>
            <w:pPr>
              <w:widowControl/>
              <w:jc w:val="center"/>
              <w:rPr>
                <w:rFonts w:ascii="宋体" w:cs="宋体"/>
                <w:sz w:val="18"/>
                <w:szCs w:val="18"/>
              </w:rPr>
            </w:pPr>
            <w:r>
              <w:rPr>
                <w:rFonts w:hint="eastAsia" w:ascii="宋体" w:cs="宋体"/>
                <w:sz w:val="18"/>
                <w:szCs w:val="18"/>
              </w:rPr>
              <w:t>10</w:t>
            </w:r>
          </w:p>
        </w:tc>
        <w:tc>
          <w:tcPr>
            <w:tcW w:w="709" w:type="dxa"/>
            <w:vAlign w:val="center"/>
          </w:tcPr>
          <w:p>
            <w:pPr>
              <w:widowControl/>
              <w:jc w:val="center"/>
              <w:rPr>
                <w:rFonts w:ascii="宋体" w:cs="宋体"/>
                <w:sz w:val="18"/>
                <w:szCs w:val="18"/>
              </w:rPr>
            </w:pPr>
            <w:r>
              <w:rPr>
                <w:rFonts w:hint="eastAsia" w:ascii="宋体" w:cs="宋体"/>
                <w:sz w:val="18"/>
                <w:szCs w:val="18"/>
              </w:rPr>
              <w:t>1台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continue"/>
          </w:tcPr>
          <w:p>
            <w:pPr>
              <w:widowControl/>
              <w:jc w:val="center"/>
              <w:rPr>
                <w:rFonts w:ascii="宋体" w:cs="宋体"/>
                <w:sz w:val="18"/>
                <w:szCs w:val="18"/>
              </w:rPr>
            </w:pP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hAnsi="宋体" w:cs="宋体"/>
                <w:sz w:val="18"/>
                <w:szCs w:val="18"/>
              </w:rPr>
              <w:t>蒂森克虏伯</w:t>
            </w:r>
          </w:p>
        </w:tc>
        <w:tc>
          <w:tcPr>
            <w:tcW w:w="567" w:type="dxa"/>
            <w:vAlign w:val="center"/>
          </w:tcPr>
          <w:p>
            <w:pPr>
              <w:widowControl/>
              <w:jc w:val="center"/>
              <w:rPr>
                <w:rFonts w:ascii="宋体" w:cs="宋体"/>
                <w:sz w:val="18"/>
                <w:szCs w:val="18"/>
              </w:rPr>
            </w:pPr>
            <w:r>
              <w:rPr>
                <w:rFonts w:hint="eastAsia" w:ascii="宋体" w:cs="宋体"/>
                <w:sz w:val="18"/>
                <w:szCs w:val="18"/>
              </w:rPr>
              <w:t>12</w:t>
            </w:r>
          </w:p>
        </w:tc>
        <w:tc>
          <w:tcPr>
            <w:tcW w:w="709" w:type="dxa"/>
            <w:vAlign w:val="center"/>
          </w:tcPr>
          <w:p>
            <w:pPr>
              <w:widowControl/>
              <w:jc w:val="center"/>
              <w:rPr>
                <w:rFonts w:ascii="宋体" w:cs="宋体"/>
                <w:sz w:val="18"/>
                <w:szCs w:val="18"/>
              </w:rPr>
            </w:pPr>
            <w:r>
              <w:rPr>
                <w:rFonts w:hint="eastAsia" w:ascii="宋体" w:cs="宋体"/>
                <w:sz w:val="18"/>
                <w:szCs w:val="18"/>
              </w:rPr>
              <w:t>1台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continue"/>
          </w:tcPr>
          <w:p>
            <w:pPr>
              <w:widowControl/>
              <w:jc w:val="center"/>
              <w:rPr>
                <w:rFonts w:ascii="宋体" w:cs="宋体"/>
                <w:sz w:val="18"/>
                <w:szCs w:val="18"/>
              </w:rPr>
            </w:pP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cs="宋体"/>
                <w:sz w:val="18"/>
                <w:szCs w:val="18"/>
              </w:rPr>
              <w:t>帝奥</w:t>
            </w:r>
          </w:p>
        </w:tc>
        <w:tc>
          <w:tcPr>
            <w:tcW w:w="567" w:type="dxa"/>
            <w:vAlign w:val="center"/>
          </w:tcPr>
          <w:p>
            <w:pPr>
              <w:widowControl/>
              <w:jc w:val="center"/>
              <w:rPr>
                <w:rFonts w:ascii="宋体" w:cs="宋体"/>
                <w:sz w:val="18"/>
                <w:szCs w:val="18"/>
              </w:rPr>
            </w:pPr>
            <w:r>
              <w:rPr>
                <w:rFonts w:hint="eastAsia" w:ascii="宋体" w:cs="宋体"/>
                <w:sz w:val="18"/>
                <w:szCs w:val="18"/>
              </w:rPr>
              <w:t>11</w:t>
            </w:r>
          </w:p>
        </w:tc>
        <w:tc>
          <w:tcPr>
            <w:tcW w:w="709" w:type="dxa"/>
            <w:vAlign w:val="center"/>
          </w:tcPr>
          <w:p>
            <w:pPr>
              <w:widowControl/>
              <w:jc w:val="center"/>
              <w:rPr>
                <w:rFonts w:ascii="宋体" w:cs="宋体"/>
                <w:sz w:val="18"/>
                <w:szCs w:val="18"/>
              </w:rPr>
            </w:pPr>
            <w:r>
              <w:rPr>
                <w:rFonts w:hint="eastAsia" w:ascii="宋体" w:cs="宋体"/>
                <w:sz w:val="18"/>
                <w:szCs w:val="18"/>
              </w:rPr>
              <w:t>2台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tcPr>
          <w:p>
            <w:pPr>
              <w:widowControl/>
              <w:jc w:val="center"/>
              <w:rPr>
                <w:rFonts w:ascii="宋体" w:cs="宋体"/>
                <w:sz w:val="18"/>
                <w:szCs w:val="18"/>
              </w:rPr>
            </w:pPr>
            <w:r>
              <w:rPr>
                <w:rFonts w:hint="eastAsia" w:ascii="宋体" w:cs="宋体"/>
                <w:sz w:val="18"/>
                <w:szCs w:val="18"/>
              </w:rPr>
              <w:t>2020.6.1-2021.5.31</w:t>
            </w: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cs="宋体"/>
                <w:sz w:val="18"/>
                <w:szCs w:val="18"/>
              </w:rPr>
              <w:t>三星</w:t>
            </w:r>
          </w:p>
        </w:tc>
        <w:tc>
          <w:tcPr>
            <w:tcW w:w="567" w:type="dxa"/>
            <w:vAlign w:val="center"/>
          </w:tcPr>
          <w:p>
            <w:pPr>
              <w:widowControl/>
              <w:jc w:val="center"/>
              <w:rPr>
                <w:rFonts w:ascii="宋体" w:cs="宋体"/>
                <w:sz w:val="18"/>
                <w:szCs w:val="18"/>
              </w:rPr>
            </w:pPr>
            <w:r>
              <w:rPr>
                <w:rFonts w:hint="eastAsia" w:ascii="宋体" w:cs="宋体"/>
                <w:sz w:val="18"/>
                <w:szCs w:val="18"/>
              </w:rPr>
              <w:t>20</w:t>
            </w:r>
          </w:p>
        </w:tc>
        <w:tc>
          <w:tcPr>
            <w:tcW w:w="709" w:type="dxa"/>
            <w:vAlign w:val="center"/>
          </w:tcPr>
          <w:p>
            <w:pPr>
              <w:widowControl/>
              <w:jc w:val="center"/>
              <w:rPr>
                <w:rFonts w:ascii="宋体" w:cs="宋体"/>
                <w:sz w:val="18"/>
                <w:szCs w:val="18"/>
              </w:rPr>
            </w:pPr>
            <w:r>
              <w:rPr>
                <w:rFonts w:hint="eastAsia" w:ascii="宋体" w:cs="宋体"/>
                <w:sz w:val="18"/>
                <w:szCs w:val="18"/>
              </w:rPr>
              <w:t>2台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tcPr>
          <w:p>
            <w:pPr>
              <w:widowControl/>
              <w:jc w:val="center"/>
              <w:rPr>
                <w:rFonts w:ascii="宋体" w:cs="宋体"/>
                <w:sz w:val="18"/>
                <w:szCs w:val="18"/>
              </w:rPr>
            </w:pPr>
            <w:r>
              <w:rPr>
                <w:rFonts w:hint="eastAsia" w:ascii="宋体" w:cs="宋体"/>
                <w:sz w:val="18"/>
                <w:szCs w:val="18"/>
              </w:rPr>
              <w:t>2020.4.20-2021.5.31</w:t>
            </w: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cs="宋体"/>
                <w:sz w:val="18"/>
                <w:szCs w:val="18"/>
              </w:rPr>
              <w:t>奥的斯</w:t>
            </w:r>
          </w:p>
        </w:tc>
        <w:tc>
          <w:tcPr>
            <w:tcW w:w="567" w:type="dxa"/>
            <w:vAlign w:val="center"/>
          </w:tcPr>
          <w:p>
            <w:pPr>
              <w:widowControl/>
              <w:jc w:val="center"/>
              <w:rPr>
                <w:rFonts w:ascii="宋体" w:cs="宋体"/>
                <w:sz w:val="18"/>
                <w:szCs w:val="18"/>
              </w:rPr>
            </w:pPr>
            <w:r>
              <w:rPr>
                <w:rFonts w:hint="eastAsia" w:ascii="宋体" w:cs="宋体"/>
                <w:sz w:val="18"/>
                <w:szCs w:val="18"/>
              </w:rPr>
              <w:t>10</w:t>
            </w:r>
          </w:p>
        </w:tc>
        <w:tc>
          <w:tcPr>
            <w:tcW w:w="709" w:type="dxa"/>
            <w:vAlign w:val="center"/>
          </w:tcPr>
          <w:p>
            <w:pPr>
              <w:widowControl/>
              <w:jc w:val="center"/>
              <w:rPr>
                <w:rFonts w:ascii="宋体" w:cs="宋体"/>
                <w:sz w:val="18"/>
                <w:szCs w:val="18"/>
              </w:rPr>
            </w:pPr>
            <w:r>
              <w:rPr>
                <w:rFonts w:hint="eastAsia" w:ascii="宋体" w:cs="宋体"/>
                <w:sz w:val="18"/>
                <w:szCs w:val="18"/>
              </w:rPr>
              <w:t>1台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restart"/>
          </w:tcPr>
          <w:p>
            <w:pPr>
              <w:widowControl/>
              <w:spacing w:line="480" w:lineRule="auto"/>
              <w:jc w:val="center"/>
              <w:rPr>
                <w:rFonts w:ascii="宋体" w:cs="宋体"/>
                <w:sz w:val="18"/>
                <w:szCs w:val="18"/>
              </w:rPr>
            </w:pPr>
            <w:r>
              <w:rPr>
                <w:rFonts w:hint="eastAsia" w:ascii="宋体" w:cs="宋体"/>
                <w:sz w:val="18"/>
                <w:szCs w:val="18"/>
              </w:rPr>
              <w:t>2020.4.1-2021.5.31</w:t>
            </w: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cs="宋体"/>
                <w:sz w:val="18"/>
                <w:szCs w:val="18"/>
              </w:rPr>
              <w:t>奥的斯</w:t>
            </w:r>
          </w:p>
        </w:tc>
        <w:tc>
          <w:tcPr>
            <w:tcW w:w="567" w:type="dxa"/>
            <w:vAlign w:val="center"/>
          </w:tcPr>
          <w:p>
            <w:pPr>
              <w:widowControl/>
              <w:jc w:val="center"/>
              <w:rPr>
                <w:rFonts w:ascii="宋体" w:cs="宋体"/>
                <w:sz w:val="18"/>
                <w:szCs w:val="18"/>
              </w:rPr>
            </w:pPr>
            <w:r>
              <w:rPr>
                <w:rFonts w:hint="eastAsia" w:ascii="宋体" w:cs="宋体"/>
                <w:sz w:val="18"/>
                <w:szCs w:val="18"/>
              </w:rPr>
              <w:t>12</w:t>
            </w:r>
          </w:p>
        </w:tc>
        <w:tc>
          <w:tcPr>
            <w:tcW w:w="709" w:type="dxa"/>
            <w:vAlign w:val="center"/>
          </w:tcPr>
          <w:p>
            <w:pPr>
              <w:widowControl/>
              <w:jc w:val="center"/>
              <w:rPr>
                <w:rFonts w:ascii="宋体" w:cs="宋体"/>
                <w:sz w:val="18"/>
                <w:szCs w:val="18"/>
              </w:rPr>
            </w:pPr>
            <w:r>
              <w:rPr>
                <w:rFonts w:hint="eastAsia" w:ascii="宋体" w:cs="宋体"/>
                <w:sz w:val="18"/>
                <w:szCs w:val="18"/>
              </w:rPr>
              <w:t>1台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continue"/>
          </w:tcPr>
          <w:p>
            <w:pPr>
              <w:widowControl/>
              <w:jc w:val="center"/>
              <w:rPr>
                <w:rFonts w:ascii="宋体" w:cs="宋体"/>
                <w:sz w:val="18"/>
                <w:szCs w:val="18"/>
              </w:rPr>
            </w:pP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7" w:type="dxa"/>
            <w:gridSpan w:val="5"/>
            <w:vAlign w:val="center"/>
          </w:tcPr>
          <w:p>
            <w:pPr>
              <w:widowControl/>
              <w:jc w:val="center"/>
              <w:rPr>
                <w:rFonts w:ascii="宋体" w:cs="宋体"/>
                <w:sz w:val="18"/>
                <w:szCs w:val="18"/>
              </w:rPr>
            </w:pPr>
            <w:r>
              <w:rPr>
                <w:rFonts w:hint="eastAsia" w:ascii="宋体" w:hAnsi="宋体" w:cs="宋体"/>
                <w:sz w:val="18"/>
                <w:szCs w:val="18"/>
              </w:rPr>
              <w:t>总价</w:t>
            </w:r>
            <w:r>
              <w:rPr>
                <w:rFonts w:ascii="宋体" w:hAnsi="宋体" w:cs="宋体"/>
                <w:sz w:val="18"/>
                <w:szCs w:val="18"/>
              </w:rPr>
              <w:t>(</w:t>
            </w:r>
            <w:r>
              <w:rPr>
                <w:rFonts w:hint="eastAsia" w:ascii="宋体" w:hAnsi="宋体" w:cs="宋体"/>
                <w:sz w:val="18"/>
                <w:szCs w:val="18"/>
              </w:rPr>
              <w:t>元</w:t>
            </w:r>
            <w:r>
              <w:rPr>
                <w:rFonts w:ascii="宋体" w:hAnsi="宋体" w:cs="宋体"/>
                <w:sz w:val="18"/>
                <w:szCs w:val="18"/>
              </w:rPr>
              <w:t>)</w:t>
            </w:r>
          </w:p>
        </w:tc>
        <w:tc>
          <w:tcPr>
            <w:tcW w:w="1439" w:type="dxa"/>
          </w:tcPr>
          <w:p>
            <w:pPr>
              <w:widowControl/>
              <w:jc w:val="center"/>
              <w:rPr>
                <w:rFonts w:ascii="宋体" w:cs="宋体"/>
                <w:sz w:val="18"/>
                <w:szCs w:val="18"/>
              </w:rPr>
            </w:pPr>
          </w:p>
        </w:tc>
        <w:tc>
          <w:tcPr>
            <w:tcW w:w="3802" w:type="dxa"/>
            <w:gridSpan w:val="2"/>
          </w:tcPr>
          <w:p>
            <w:pPr>
              <w:widowControl/>
              <w:jc w:val="center"/>
              <w:rPr>
                <w:rFonts w:ascii="宋体" w:cs="宋体"/>
                <w:sz w:val="18"/>
                <w:szCs w:val="18"/>
              </w:rPr>
            </w:pPr>
          </w:p>
        </w:tc>
      </w:tr>
    </w:tbl>
    <w:p>
      <w:pPr>
        <w:spacing w:line="360" w:lineRule="auto"/>
        <w:ind w:left="480"/>
        <w:rPr>
          <w:rFonts w:ascii="宋体"/>
          <w:sz w:val="24"/>
        </w:rPr>
      </w:pPr>
    </w:p>
    <w:p>
      <w:pPr>
        <w:spacing w:line="360" w:lineRule="auto"/>
        <w:rPr>
          <w:rFonts w:ascii="宋体" w:hAnsi="宋体"/>
          <w:b/>
          <w:sz w:val="24"/>
        </w:rPr>
      </w:pPr>
      <w:r>
        <w:rPr>
          <w:rFonts w:ascii="宋体" w:hAnsi="宋体"/>
          <w:sz w:val="24"/>
        </w:rPr>
        <w:t xml:space="preserve">   </w:t>
      </w:r>
      <w:r>
        <w:rPr>
          <w:rFonts w:hint="eastAsia" w:ascii="宋体" w:hAnsi="宋体"/>
          <w:b/>
          <w:sz w:val="24"/>
        </w:rPr>
        <w:t>三、投标供应商（服务商）的资格要求</w:t>
      </w:r>
      <w:r>
        <w:rPr>
          <w:rFonts w:ascii="宋体" w:hAnsi="宋体"/>
          <w:b/>
          <w:sz w:val="24"/>
        </w:rPr>
        <w:t>:</w:t>
      </w:r>
    </w:p>
    <w:p>
      <w:pPr>
        <w:widowControl/>
        <w:spacing w:line="360" w:lineRule="auto"/>
        <w:ind w:firstLine="480" w:firstLineChars="200"/>
        <w:jc w:val="left"/>
        <w:rPr>
          <w:rFonts w:ascii="宋体" w:cs="Arial"/>
          <w:kern w:val="0"/>
          <w:sz w:val="18"/>
          <w:szCs w:val="18"/>
        </w:rPr>
      </w:pPr>
      <w:r>
        <w:rPr>
          <w:rFonts w:ascii="宋体" w:hAnsi="宋体" w:cs="Arial"/>
          <w:kern w:val="0"/>
          <w:sz w:val="24"/>
        </w:rPr>
        <w:t>1</w:t>
      </w:r>
      <w:r>
        <w:rPr>
          <w:rFonts w:hint="eastAsia" w:ascii="宋体" w:hAnsi="宋体" w:cs="Arial"/>
          <w:kern w:val="0"/>
          <w:sz w:val="24"/>
        </w:rPr>
        <w:t>、符合《中华人民共和国政府采购法》第二十二条对供应商（服务商）的资格要求；具有独立订立合同、履行合同的能力，三年内，在经营活动中没有违法记录。</w:t>
      </w:r>
    </w:p>
    <w:p>
      <w:pPr>
        <w:widowControl/>
        <w:spacing w:line="360" w:lineRule="auto"/>
        <w:ind w:firstLine="480" w:firstLineChars="200"/>
        <w:jc w:val="left"/>
        <w:rPr>
          <w:rFonts w:ascii="宋体" w:cs="Arial"/>
          <w:kern w:val="0"/>
          <w:sz w:val="24"/>
        </w:rPr>
      </w:pPr>
      <w:r>
        <w:rPr>
          <w:rFonts w:ascii="宋体" w:hAnsi="宋体" w:cs="Arial"/>
          <w:kern w:val="0"/>
          <w:sz w:val="24"/>
        </w:rPr>
        <w:t>2</w:t>
      </w:r>
      <w:r>
        <w:rPr>
          <w:rFonts w:hint="eastAsia" w:ascii="宋体" w:hAnsi="宋体" w:cs="Arial"/>
          <w:kern w:val="0"/>
          <w:sz w:val="24"/>
        </w:rPr>
        <w:t>、电梯维保为</w:t>
      </w:r>
      <w:r>
        <w:rPr>
          <w:rFonts w:ascii="宋体" w:hAnsi="宋体" w:cs="Arial"/>
          <w:kern w:val="0"/>
          <w:sz w:val="24"/>
        </w:rPr>
        <w:t>B</w:t>
      </w:r>
      <w:r>
        <w:rPr>
          <w:rFonts w:hint="eastAsia" w:ascii="宋体" w:hAnsi="宋体" w:cs="Arial"/>
          <w:kern w:val="0"/>
          <w:sz w:val="24"/>
        </w:rPr>
        <w:t>级及以上资质维保单位。</w:t>
      </w:r>
    </w:p>
    <w:p>
      <w:pPr>
        <w:widowControl/>
        <w:spacing w:line="360" w:lineRule="auto"/>
        <w:ind w:firstLine="480" w:firstLineChars="200"/>
        <w:jc w:val="left"/>
        <w:rPr>
          <w:rFonts w:ascii="宋体" w:cs="Arial"/>
          <w:kern w:val="0"/>
          <w:sz w:val="18"/>
          <w:szCs w:val="18"/>
        </w:rPr>
      </w:pPr>
      <w:r>
        <w:rPr>
          <w:rFonts w:ascii="宋体" w:hAnsi="宋体" w:cs="Arial"/>
          <w:kern w:val="0"/>
          <w:sz w:val="24"/>
        </w:rPr>
        <w:t>4</w:t>
      </w:r>
      <w:r>
        <w:rPr>
          <w:rFonts w:hint="eastAsia" w:ascii="宋体" w:hAnsi="宋体" w:cs="Arial"/>
          <w:kern w:val="0"/>
          <w:sz w:val="24"/>
        </w:rPr>
        <w:t>、全职聘用合同的电气或机械专业技术人员不少于</w:t>
      </w:r>
      <w:r>
        <w:rPr>
          <w:rFonts w:ascii="宋体" w:hAnsi="宋体" w:cs="Arial"/>
          <w:kern w:val="0"/>
          <w:sz w:val="24"/>
        </w:rPr>
        <w:t>5</w:t>
      </w:r>
      <w:r>
        <w:rPr>
          <w:rFonts w:hint="eastAsia" w:ascii="宋体" w:hAnsi="宋体" w:cs="Arial"/>
          <w:kern w:val="0"/>
          <w:sz w:val="24"/>
        </w:rPr>
        <w:t>人，其中工程师不少于</w:t>
      </w:r>
      <w:r>
        <w:rPr>
          <w:rFonts w:ascii="宋体" w:hAnsi="宋体" w:cs="Arial"/>
          <w:kern w:val="0"/>
          <w:sz w:val="24"/>
        </w:rPr>
        <w:t>2</w:t>
      </w:r>
      <w:r>
        <w:rPr>
          <w:rFonts w:hint="eastAsia" w:ascii="宋体" w:hAnsi="宋体" w:cs="Arial"/>
          <w:kern w:val="0"/>
          <w:sz w:val="24"/>
        </w:rPr>
        <w:t>人。</w:t>
      </w:r>
      <w:r>
        <w:rPr>
          <w:rFonts w:ascii="宋体" w:hAnsi="宋体" w:cs="Arial"/>
          <w:kern w:val="0"/>
          <w:sz w:val="24"/>
        </w:rPr>
        <w:t xml:space="preserve"> </w:t>
      </w:r>
    </w:p>
    <w:p>
      <w:pPr>
        <w:widowControl/>
        <w:spacing w:line="360" w:lineRule="auto"/>
        <w:ind w:firstLine="480" w:firstLineChars="200"/>
        <w:jc w:val="left"/>
        <w:rPr>
          <w:rFonts w:ascii="宋体" w:hAnsi="宋体" w:cs="Arial"/>
          <w:kern w:val="0"/>
          <w:sz w:val="24"/>
        </w:rPr>
      </w:pPr>
      <w:r>
        <w:rPr>
          <w:rFonts w:ascii="宋体" w:hAnsi="宋体" w:cs="Arial"/>
          <w:kern w:val="0"/>
          <w:sz w:val="24"/>
        </w:rPr>
        <w:t>5</w:t>
      </w:r>
      <w:r>
        <w:rPr>
          <w:rFonts w:hint="eastAsia" w:ascii="宋体" w:hAnsi="宋体" w:cs="Arial"/>
          <w:kern w:val="0"/>
          <w:sz w:val="24"/>
        </w:rPr>
        <w:t>、全职聘用合同的持相应作业项目资格证书的特种设备作业人员等技术工人不少于</w:t>
      </w:r>
      <w:r>
        <w:rPr>
          <w:rFonts w:ascii="宋体" w:hAnsi="宋体" w:cs="Arial"/>
          <w:kern w:val="0"/>
          <w:sz w:val="24"/>
        </w:rPr>
        <w:t>10</w:t>
      </w:r>
      <w:r>
        <w:rPr>
          <w:rFonts w:hint="eastAsia" w:ascii="宋体" w:hAnsi="宋体" w:cs="Arial"/>
          <w:kern w:val="0"/>
          <w:sz w:val="24"/>
        </w:rPr>
        <w:t>人。</w:t>
      </w:r>
    </w:p>
    <w:p>
      <w:pPr>
        <w:widowControl/>
        <w:spacing w:line="360" w:lineRule="auto"/>
        <w:ind w:firstLine="480" w:firstLineChars="200"/>
        <w:jc w:val="left"/>
        <w:rPr>
          <w:rFonts w:ascii="宋体" w:hAnsi="宋体" w:cs="Arial"/>
          <w:kern w:val="0"/>
          <w:sz w:val="24"/>
        </w:rPr>
      </w:pPr>
      <w:r>
        <w:rPr>
          <w:rFonts w:hint="eastAsia" w:ascii="宋体" w:hAnsi="宋体" w:cs="Arial"/>
          <w:kern w:val="0"/>
          <w:sz w:val="24"/>
        </w:rPr>
        <w:t>6、投标时需提供营业执照复印件及其他相关资料，所有提交材料均需密封完好并加盖公章；</w:t>
      </w:r>
    </w:p>
    <w:p>
      <w:pPr>
        <w:widowControl/>
        <w:spacing w:line="360" w:lineRule="auto"/>
        <w:ind w:firstLine="480" w:firstLineChars="200"/>
        <w:jc w:val="left"/>
        <w:rPr>
          <w:rFonts w:ascii="宋体" w:hAnsi="宋体" w:cs="Arial"/>
          <w:kern w:val="0"/>
          <w:sz w:val="24"/>
        </w:rPr>
      </w:pPr>
      <w:r>
        <w:rPr>
          <w:rFonts w:hint="eastAsia" w:ascii="宋体" w:hAnsi="宋体" w:cs="Arial"/>
          <w:kern w:val="0"/>
          <w:sz w:val="24"/>
        </w:rPr>
        <w:t>7、法定代表人资格证明书，法定代表人授权委托书原件（如法定代表人来现场投标，则无需提供）；</w:t>
      </w:r>
    </w:p>
    <w:p>
      <w:pPr>
        <w:widowControl/>
        <w:spacing w:line="360" w:lineRule="auto"/>
        <w:ind w:firstLine="480" w:firstLineChars="200"/>
        <w:jc w:val="left"/>
        <w:rPr>
          <w:rFonts w:ascii="宋体" w:hAnsi="宋体" w:cs="Arial"/>
          <w:kern w:val="0"/>
          <w:sz w:val="24"/>
        </w:rPr>
      </w:pPr>
      <w:r>
        <w:rPr>
          <w:rFonts w:hint="eastAsia" w:ascii="宋体" w:hAnsi="宋体" w:cs="Arial"/>
          <w:kern w:val="0"/>
          <w:sz w:val="24"/>
        </w:rPr>
        <w:t>8、法人身份证复印件及被授权人身份证复印件、授权书。</w:t>
      </w:r>
    </w:p>
    <w:p>
      <w:pPr>
        <w:widowControl/>
        <w:snapToGrid w:val="0"/>
        <w:spacing w:line="600" w:lineRule="exact"/>
        <w:ind w:firstLine="480" w:firstLineChars="200"/>
        <w:jc w:val="left"/>
        <w:rPr>
          <w:rFonts w:cs="宋体"/>
          <w:sz w:val="24"/>
        </w:rPr>
      </w:pPr>
      <w:r>
        <w:rPr>
          <w:rFonts w:hint="eastAsia" w:ascii="宋体" w:hAnsi="宋体" w:cs="Arial"/>
          <w:kern w:val="0"/>
          <w:sz w:val="24"/>
        </w:rPr>
        <w:t>9、</w:t>
      </w:r>
      <w:r>
        <w:rPr>
          <w:rFonts w:hint="eastAsia" w:cs="宋体"/>
          <w:sz w:val="24"/>
        </w:rPr>
        <w:t>法定代表人为同一个人的两个及两个以上法人，母公司、全资子公司及其控股公司，都不得在本招标项目中同时参加投标，一经发现，将视同围标处理。</w:t>
      </w:r>
    </w:p>
    <w:p>
      <w:pPr>
        <w:widowControl/>
        <w:spacing w:line="360" w:lineRule="auto"/>
        <w:ind w:firstLine="482" w:firstLineChars="200"/>
        <w:jc w:val="left"/>
        <w:rPr>
          <w:rFonts w:ascii="宋体" w:hAnsi="宋体"/>
          <w:b/>
          <w:sz w:val="24"/>
        </w:rPr>
      </w:pPr>
      <w:r>
        <w:rPr>
          <w:rFonts w:hint="eastAsia" w:ascii="宋体" w:hAnsi="宋体"/>
          <w:b/>
          <w:sz w:val="24"/>
        </w:rPr>
        <w:t>四、最高限价：</w:t>
      </w:r>
      <w:r>
        <w:rPr>
          <w:rFonts w:hint="eastAsia" w:ascii="宋体" w:hAnsi="宋体"/>
          <w:sz w:val="24"/>
        </w:rPr>
        <w:t>7.2万元。</w:t>
      </w:r>
    </w:p>
    <w:p>
      <w:pPr>
        <w:widowControl/>
        <w:spacing w:line="360" w:lineRule="auto"/>
        <w:ind w:firstLine="482" w:firstLineChars="200"/>
        <w:jc w:val="left"/>
        <w:rPr>
          <w:rFonts w:ascii="宋体" w:hAnsi="宋体"/>
          <w:sz w:val="24"/>
        </w:rPr>
      </w:pPr>
      <w:r>
        <w:rPr>
          <w:rFonts w:hint="eastAsia" w:ascii="宋体" w:hAnsi="宋体"/>
          <w:b/>
          <w:sz w:val="24"/>
        </w:rPr>
        <w:t>五、资格审查方式：</w:t>
      </w:r>
      <w:r>
        <w:rPr>
          <w:rFonts w:hint="eastAsia" w:ascii="宋体" w:hAnsi="宋体"/>
          <w:sz w:val="24"/>
        </w:rPr>
        <w:t>资格后审</w:t>
      </w:r>
    </w:p>
    <w:p>
      <w:pPr>
        <w:widowControl/>
        <w:spacing w:line="360" w:lineRule="auto"/>
        <w:ind w:firstLine="482" w:firstLineChars="200"/>
        <w:jc w:val="left"/>
        <w:rPr>
          <w:rFonts w:ascii="宋体" w:hAnsi="宋体"/>
          <w:sz w:val="24"/>
        </w:rPr>
      </w:pPr>
      <w:r>
        <w:rPr>
          <w:rFonts w:hint="eastAsia" w:ascii="宋体" w:hAnsi="宋体"/>
          <w:b/>
          <w:sz w:val="24"/>
        </w:rPr>
        <w:t>六、评标办法：</w:t>
      </w:r>
      <w:r>
        <w:rPr>
          <w:rFonts w:hint="eastAsia" w:ascii="宋体" w:hAnsi="宋体"/>
          <w:sz w:val="24"/>
        </w:rPr>
        <w:t>综合投标法</w:t>
      </w:r>
    </w:p>
    <w:p>
      <w:pPr>
        <w:widowControl/>
        <w:spacing w:line="360" w:lineRule="auto"/>
        <w:ind w:firstLine="482" w:firstLineChars="200"/>
        <w:jc w:val="left"/>
        <w:rPr>
          <w:rFonts w:ascii="宋体"/>
          <w:b/>
          <w:sz w:val="24"/>
        </w:rPr>
      </w:pPr>
      <w:r>
        <w:rPr>
          <w:rFonts w:hint="eastAsia" w:ascii="宋体" w:hAnsi="宋体"/>
          <w:b/>
          <w:sz w:val="24"/>
        </w:rPr>
        <w:t>七、投标人须知</w:t>
      </w:r>
    </w:p>
    <w:p>
      <w:pPr>
        <w:widowControl/>
        <w:spacing w:line="520" w:lineRule="exact"/>
        <w:ind w:firstLine="480" w:firstLineChars="200"/>
        <w:jc w:val="left"/>
        <w:rPr>
          <w:rFonts w:ascii="宋体"/>
          <w:sz w:val="24"/>
        </w:rPr>
      </w:pPr>
      <w:r>
        <w:rPr>
          <w:rFonts w:ascii="宋体" w:hAnsi="宋体"/>
          <w:sz w:val="24"/>
        </w:rPr>
        <w:t>1.</w:t>
      </w:r>
      <w:r>
        <w:rPr>
          <w:rFonts w:hint="eastAsia" w:ascii="宋体" w:hAnsi="宋体"/>
          <w:sz w:val="24"/>
        </w:rPr>
        <w:t>与本项目有关的所有招标资料</w:t>
      </w:r>
      <w:r>
        <w:rPr>
          <w:rFonts w:ascii="宋体" w:hAnsi="宋体"/>
          <w:sz w:val="24"/>
        </w:rPr>
        <w:t>(</w:t>
      </w:r>
      <w:r>
        <w:rPr>
          <w:rFonts w:hint="eastAsia" w:ascii="宋体" w:hAnsi="宋体"/>
          <w:sz w:val="24"/>
        </w:rPr>
        <w:t>招标文件、招标文件的澄清、修改、补充及招标控制价等</w:t>
      </w:r>
      <w:r>
        <w:rPr>
          <w:rFonts w:ascii="宋体" w:hAnsi="宋体"/>
          <w:sz w:val="24"/>
        </w:rPr>
        <w:t>)</w:t>
      </w:r>
      <w:r>
        <w:rPr>
          <w:rFonts w:hint="eastAsia" w:ascii="宋体" w:hAnsi="宋体"/>
          <w:sz w:val="24"/>
        </w:rPr>
        <w:t>全部在南通市阳光养老产业集团有限公司网站下载，不收取费用，请投标单位自行关注，否则，引起的后果由投标人自行承担。</w:t>
      </w:r>
    </w:p>
    <w:p>
      <w:pPr>
        <w:widowControl/>
        <w:spacing w:line="520" w:lineRule="exact"/>
        <w:ind w:firstLine="480" w:firstLineChars="200"/>
        <w:jc w:val="left"/>
        <w:rPr>
          <w:rFonts w:ascii="宋体"/>
          <w:sz w:val="24"/>
        </w:rPr>
      </w:pPr>
      <w:r>
        <w:rPr>
          <w:rFonts w:ascii="宋体" w:hAnsi="宋体"/>
          <w:sz w:val="24"/>
        </w:rPr>
        <w:t>2.</w:t>
      </w:r>
      <w:r>
        <w:rPr>
          <w:rFonts w:hint="eastAsia" w:ascii="宋体" w:hAnsi="宋体"/>
          <w:sz w:val="24"/>
        </w:rPr>
        <w:t xml:space="preserve"> 评标方式：综合评标法，详见招标文件。</w:t>
      </w:r>
    </w:p>
    <w:p>
      <w:pPr>
        <w:spacing w:line="420" w:lineRule="exact"/>
        <w:ind w:firstLine="480" w:firstLineChars="200"/>
        <w:rPr>
          <w:rFonts w:ascii="宋体" w:hAnsi="宋体"/>
          <w:sz w:val="24"/>
        </w:rPr>
      </w:pPr>
      <w:r>
        <w:rPr>
          <w:rFonts w:ascii="宋体" w:hAnsi="宋体"/>
          <w:sz w:val="24"/>
        </w:rPr>
        <w:t xml:space="preserve">3. </w:t>
      </w:r>
      <w:r>
        <w:rPr>
          <w:rFonts w:hint="eastAsia" w:ascii="宋体" w:hAnsi="宋体"/>
          <w:sz w:val="24"/>
        </w:rPr>
        <w:t>本次项目招标确定履约保证金：中标人需在中标后三个工作日内缴纳履约保证金人民币30</w:t>
      </w:r>
      <w:r>
        <w:rPr>
          <w:rFonts w:ascii="宋体" w:hAnsi="宋体"/>
          <w:sz w:val="24"/>
        </w:rPr>
        <w:t>00</w:t>
      </w:r>
      <w:r>
        <w:rPr>
          <w:rFonts w:hint="eastAsia" w:ascii="宋体" w:hAnsi="宋体"/>
          <w:sz w:val="24"/>
        </w:rPr>
        <w:t>元（中标后由中标人到银行自行缴纳，南通阳光养老产业集团有限公司收到履约保证金后开具收据给中标人）。</w:t>
      </w:r>
    </w:p>
    <w:p>
      <w:pPr>
        <w:spacing w:line="420" w:lineRule="exact"/>
        <w:ind w:firstLine="480" w:firstLineChars="200"/>
        <w:rPr>
          <w:rFonts w:ascii="宋体" w:hAnsi="宋体"/>
          <w:sz w:val="24"/>
        </w:rPr>
      </w:pPr>
      <w:r>
        <w:rPr>
          <w:rFonts w:hint="eastAsia" w:ascii="宋体" w:hAnsi="宋体"/>
          <w:sz w:val="24"/>
        </w:rPr>
        <w:t>4.中标人未缴纳履约保证金的，不得签订合同，到期未缴纳履约保证金的，作为废标处理，由第二中标人中标。</w:t>
      </w:r>
    </w:p>
    <w:p>
      <w:pPr>
        <w:spacing w:line="420" w:lineRule="exact"/>
        <w:ind w:firstLine="480" w:firstLineChars="200"/>
        <w:rPr>
          <w:rFonts w:ascii="宋体" w:hAnsi="宋体"/>
          <w:sz w:val="24"/>
        </w:rPr>
      </w:pPr>
      <w:r>
        <w:rPr>
          <w:rFonts w:hint="eastAsia" w:ascii="宋体" w:hAnsi="宋体"/>
          <w:sz w:val="24"/>
        </w:rPr>
        <w:t>5.合同履行半年后无问题或争议，招标人无息退还中标人履约保证金。</w:t>
      </w:r>
    </w:p>
    <w:p>
      <w:pPr>
        <w:spacing w:line="420" w:lineRule="exact"/>
        <w:ind w:firstLine="480" w:firstLineChars="200"/>
        <w:rPr>
          <w:rFonts w:ascii="宋体" w:hAnsi="宋体"/>
          <w:sz w:val="24"/>
        </w:rPr>
      </w:pPr>
    </w:p>
    <w:p>
      <w:pPr>
        <w:ind w:firstLine="482" w:firstLineChars="200"/>
        <w:rPr>
          <w:rFonts w:ascii="宋体" w:hAnsi="宋体"/>
          <w:b/>
          <w:sz w:val="24"/>
        </w:rPr>
      </w:pPr>
      <w:r>
        <w:rPr>
          <w:rFonts w:hint="eastAsia" w:ascii="宋体" w:hAnsi="宋体"/>
          <w:b/>
          <w:sz w:val="24"/>
        </w:rPr>
        <w:t>八、响应文件接受截止时间及地址：</w:t>
      </w:r>
    </w:p>
    <w:p>
      <w:pPr>
        <w:spacing w:line="360" w:lineRule="auto"/>
        <w:ind w:firstLine="480" w:firstLineChars="200"/>
        <w:rPr>
          <w:sz w:val="24"/>
        </w:rPr>
      </w:pPr>
      <w:r>
        <w:rPr>
          <w:rFonts w:hint="eastAsia"/>
          <w:sz w:val="24"/>
        </w:rPr>
        <w:t>时间：2020年2月5日14时00分截止，文件需密封在该时间前送达或邮寄至</w:t>
      </w:r>
      <w:r>
        <w:rPr>
          <w:rFonts w:hint="eastAsia"/>
          <w:b/>
          <w:sz w:val="24"/>
        </w:rPr>
        <w:t>阳光老年公寓门卫室</w:t>
      </w:r>
      <w:r>
        <w:rPr>
          <w:rFonts w:hint="eastAsia"/>
          <w:sz w:val="24"/>
        </w:rPr>
        <w:t>，逾期送达或者未送达指定地点的投标文件，招标人不予受理。</w:t>
      </w:r>
    </w:p>
    <w:p>
      <w:pPr>
        <w:spacing w:line="360" w:lineRule="auto"/>
        <w:ind w:firstLine="480" w:firstLineChars="200"/>
        <w:rPr>
          <w:sz w:val="24"/>
        </w:rPr>
      </w:pPr>
      <w:r>
        <w:rPr>
          <w:rFonts w:hint="eastAsia"/>
          <w:sz w:val="24"/>
        </w:rPr>
        <w:t>地址：南通市崇川区工农南路185号阳光老年公寓门卫室。</w:t>
      </w:r>
    </w:p>
    <w:p>
      <w:pPr>
        <w:spacing w:line="420" w:lineRule="exact"/>
        <w:ind w:firstLine="482" w:firstLineChars="200"/>
        <w:rPr>
          <w:rFonts w:ascii="宋体" w:hAnsi="宋体"/>
          <w:b/>
          <w:sz w:val="24"/>
        </w:rPr>
      </w:pPr>
      <w:r>
        <w:rPr>
          <w:rFonts w:hint="eastAsia" w:ascii="宋体" w:hAnsi="宋体"/>
          <w:b/>
          <w:sz w:val="24"/>
        </w:rPr>
        <w:t>九、开标时间及方式：</w:t>
      </w:r>
    </w:p>
    <w:p>
      <w:pPr>
        <w:spacing w:line="360" w:lineRule="auto"/>
        <w:ind w:firstLine="480" w:firstLineChars="200"/>
        <w:rPr>
          <w:sz w:val="24"/>
        </w:rPr>
      </w:pPr>
      <w:r>
        <w:rPr>
          <w:rFonts w:hint="eastAsia"/>
          <w:sz w:val="24"/>
        </w:rPr>
        <w:t>开标时间：2020年2月5日15时00分</w:t>
      </w:r>
    </w:p>
    <w:p>
      <w:pPr>
        <w:spacing w:line="360" w:lineRule="auto"/>
        <w:ind w:firstLine="480" w:firstLineChars="200"/>
        <w:rPr>
          <w:sz w:val="24"/>
        </w:rPr>
      </w:pPr>
      <w:r>
        <w:rPr>
          <w:rFonts w:hint="eastAsia"/>
          <w:sz w:val="24"/>
        </w:rPr>
        <w:t>开标方式：</w:t>
      </w:r>
      <w:r>
        <w:rPr>
          <w:rFonts w:hint="eastAsia"/>
          <w:b/>
          <w:sz w:val="24"/>
        </w:rPr>
        <w:t>受疫情影响，采用内部开标方式。</w:t>
      </w:r>
    </w:p>
    <w:p>
      <w:pPr>
        <w:spacing w:line="360" w:lineRule="auto"/>
        <w:ind w:firstLine="482" w:firstLineChars="200"/>
        <w:rPr>
          <w:b/>
          <w:sz w:val="24"/>
        </w:rPr>
      </w:pPr>
      <w:r>
        <w:rPr>
          <w:rFonts w:hint="eastAsia"/>
          <w:b/>
          <w:sz w:val="24"/>
        </w:rPr>
        <w:t>十、联系方式：</w:t>
      </w:r>
    </w:p>
    <w:p>
      <w:pPr>
        <w:spacing w:line="360" w:lineRule="auto"/>
        <w:ind w:firstLine="480" w:firstLineChars="200"/>
        <w:rPr>
          <w:sz w:val="24"/>
        </w:rPr>
      </w:pPr>
      <w:r>
        <w:rPr>
          <w:rFonts w:hint="eastAsia"/>
          <w:sz w:val="24"/>
        </w:rPr>
        <w:t>招标人：南通市阳光养老产业集团有限公司</w:t>
      </w:r>
    </w:p>
    <w:p>
      <w:pPr>
        <w:spacing w:line="360" w:lineRule="auto"/>
        <w:ind w:firstLine="480" w:firstLineChars="200"/>
        <w:rPr>
          <w:sz w:val="24"/>
        </w:rPr>
      </w:pPr>
      <w:r>
        <w:rPr>
          <w:rFonts w:hint="eastAsia"/>
          <w:sz w:val="24"/>
        </w:rPr>
        <w:t>联系人：施捷</w:t>
      </w:r>
    </w:p>
    <w:p>
      <w:pPr>
        <w:spacing w:line="360" w:lineRule="auto"/>
        <w:ind w:firstLine="480" w:firstLineChars="200"/>
        <w:rPr>
          <w:sz w:val="24"/>
        </w:rPr>
      </w:pPr>
      <w:r>
        <w:rPr>
          <w:rFonts w:hint="eastAsia"/>
          <w:sz w:val="24"/>
        </w:rPr>
        <w:t>电   话：18761701050</w:t>
      </w:r>
    </w:p>
    <w:p>
      <w:pPr>
        <w:ind w:firstLine="560" w:firstLineChars="200"/>
        <w:rPr>
          <w:sz w:val="28"/>
          <w:szCs w:val="28"/>
        </w:rPr>
      </w:pPr>
    </w:p>
    <w:p>
      <w:pPr>
        <w:spacing w:line="420" w:lineRule="exact"/>
        <w:ind w:firstLine="482" w:firstLineChars="200"/>
        <w:rPr>
          <w:rFonts w:ascii="宋体" w:hAnsi="宋体"/>
          <w:b/>
          <w:sz w:val="24"/>
        </w:rPr>
      </w:pPr>
    </w:p>
    <w:bookmarkEnd w:id="0"/>
    <w:bookmarkEnd w:id="1"/>
    <w:bookmarkEnd w:id="2"/>
    <w:bookmarkEnd w:id="3"/>
    <w:bookmarkEnd w:id="4"/>
    <w:bookmarkEnd w:id="5"/>
    <w:p>
      <w:pPr>
        <w:jc w:val="center"/>
        <w:rPr>
          <w:rFonts w:ascii="宋体" w:hAnsi="宋体"/>
          <w:b/>
          <w:bCs/>
          <w:sz w:val="44"/>
        </w:rPr>
      </w:pPr>
    </w:p>
    <w:p>
      <w:pPr>
        <w:jc w:val="center"/>
        <w:rPr>
          <w:rFonts w:ascii="宋体" w:hAnsi="宋体"/>
          <w:b/>
          <w:bCs/>
          <w:sz w:val="44"/>
        </w:rPr>
      </w:pPr>
    </w:p>
    <w:p>
      <w:pPr>
        <w:rPr>
          <w:rFonts w:ascii="宋体" w:hAnsi="宋体"/>
          <w:b/>
          <w:bCs/>
          <w:sz w:val="44"/>
        </w:rPr>
      </w:pPr>
    </w:p>
    <w:p>
      <w:pPr>
        <w:rPr>
          <w:rFonts w:ascii="宋体"/>
          <w:b/>
          <w:bCs/>
          <w:sz w:val="44"/>
        </w:rPr>
      </w:pPr>
      <w:r>
        <w:rPr>
          <w:rFonts w:ascii="宋体" w:hAnsi="宋体"/>
          <w:b/>
          <w:bCs/>
          <w:sz w:val="44"/>
        </w:rPr>
        <w:t xml:space="preserve"> </w:t>
      </w:r>
    </w:p>
    <w:p>
      <w:pPr>
        <w:jc w:val="center"/>
        <w:rPr>
          <w:rFonts w:ascii="宋体"/>
          <w:b/>
          <w:bCs/>
          <w:sz w:val="44"/>
        </w:rPr>
      </w:pPr>
      <w:r>
        <w:rPr>
          <w:rFonts w:hint="eastAsia" w:ascii="宋体" w:hAnsi="宋体"/>
          <w:b/>
          <w:bCs/>
          <w:sz w:val="44"/>
        </w:rPr>
        <w:t>第二部分</w:t>
      </w:r>
      <w:r>
        <w:rPr>
          <w:rFonts w:ascii="宋体" w:hAnsi="宋体"/>
          <w:b/>
          <w:bCs/>
          <w:sz w:val="44"/>
        </w:rPr>
        <w:t xml:space="preserve">   </w:t>
      </w:r>
      <w:r>
        <w:rPr>
          <w:rFonts w:hint="eastAsia" w:ascii="宋体" w:hAnsi="宋体"/>
          <w:b/>
          <w:bCs/>
          <w:sz w:val="44"/>
        </w:rPr>
        <w:t>采购（或服务）项目要求</w:t>
      </w:r>
    </w:p>
    <w:p>
      <w:pPr>
        <w:spacing w:line="380" w:lineRule="exact"/>
        <w:ind w:firstLine="602" w:firstLineChars="200"/>
        <w:jc w:val="center"/>
        <w:rPr>
          <w:rFonts w:ascii="宋体"/>
          <w:b/>
          <w:sz w:val="30"/>
          <w:szCs w:val="30"/>
        </w:rPr>
      </w:pPr>
      <w:r>
        <w:rPr>
          <w:rFonts w:hint="eastAsia" w:ascii="宋体" w:hAnsi="宋体"/>
          <w:b/>
          <w:sz w:val="30"/>
          <w:szCs w:val="30"/>
        </w:rPr>
        <w:t>第一章</w:t>
      </w:r>
      <w:r>
        <w:rPr>
          <w:rFonts w:ascii="宋体" w:hAnsi="宋体"/>
          <w:b/>
          <w:sz w:val="30"/>
          <w:szCs w:val="30"/>
        </w:rPr>
        <w:t xml:space="preserve"> </w:t>
      </w:r>
      <w:r>
        <w:rPr>
          <w:rFonts w:hint="eastAsia" w:ascii="宋体" w:hAnsi="宋体"/>
          <w:b/>
          <w:sz w:val="30"/>
          <w:szCs w:val="30"/>
        </w:rPr>
        <w:t>相关要求</w:t>
      </w:r>
    </w:p>
    <w:p>
      <w:pPr>
        <w:widowControl/>
        <w:spacing w:line="380" w:lineRule="exact"/>
        <w:jc w:val="left"/>
        <w:rPr>
          <w:rFonts w:ascii="宋体" w:hAnsi="宋体"/>
          <w:b/>
          <w:bCs/>
          <w:kern w:val="0"/>
          <w:szCs w:val="21"/>
        </w:rPr>
      </w:pPr>
      <w:r>
        <w:rPr>
          <w:rFonts w:hint="eastAsia" w:ascii="宋体" w:hAnsi="宋体"/>
          <w:kern w:val="0"/>
          <w:szCs w:val="21"/>
        </w:rPr>
        <w:t>一、</w:t>
      </w:r>
      <w:r>
        <w:rPr>
          <w:rFonts w:hint="eastAsia" w:ascii="宋体" w:hAnsi="宋体"/>
          <w:b/>
          <w:bCs/>
          <w:kern w:val="0"/>
          <w:szCs w:val="21"/>
        </w:rPr>
        <w:t>基本参数</w:t>
      </w:r>
    </w:p>
    <w:tbl>
      <w:tblPr>
        <w:tblStyle w:val="16"/>
        <w:tblW w:w="10898" w:type="dxa"/>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96"/>
        <w:gridCol w:w="567"/>
        <w:gridCol w:w="709"/>
        <w:gridCol w:w="1559"/>
        <w:gridCol w:w="1439"/>
        <w:gridCol w:w="212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jc w:val="center"/>
              <w:rPr>
                <w:rFonts w:ascii="宋体" w:cs="宋体"/>
                <w:sz w:val="18"/>
                <w:szCs w:val="18"/>
              </w:rPr>
            </w:pPr>
            <w:r>
              <w:rPr>
                <w:rFonts w:hint="eastAsia" w:ascii="宋体" w:hAnsi="宋体" w:cs="Arial"/>
                <w:kern w:val="0"/>
                <w:sz w:val="18"/>
                <w:szCs w:val="21"/>
              </w:rPr>
              <w:t>名称</w:t>
            </w:r>
          </w:p>
        </w:tc>
        <w:tc>
          <w:tcPr>
            <w:tcW w:w="1296" w:type="dxa"/>
            <w:vAlign w:val="center"/>
          </w:tcPr>
          <w:p>
            <w:pPr>
              <w:widowControl/>
              <w:jc w:val="center"/>
              <w:rPr>
                <w:rFonts w:ascii="宋体" w:cs="宋体"/>
                <w:sz w:val="18"/>
                <w:szCs w:val="18"/>
              </w:rPr>
            </w:pPr>
            <w:r>
              <w:rPr>
                <w:rFonts w:hint="eastAsia" w:ascii="宋体" w:hAnsi="宋体" w:cs="Arial"/>
                <w:kern w:val="0"/>
                <w:sz w:val="18"/>
                <w:szCs w:val="21"/>
              </w:rPr>
              <w:t>电梯品牌</w:t>
            </w:r>
          </w:p>
        </w:tc>
        <w:tc>
          <w:tcPr>
            <w:tcW w:w="567" w:type="dxa"/>
            <w:vAlign w:val="center"/>
          </w:tcPr>
          <w:p>
            <w:pPr>
              <w:widowControl/>
              <w:jc w:val="center"/>
              <w:rPr>
                <w:rFonts w:ascii="宋体" w:cs="宋体"/>
                <w:sz w:val="18"/>
                <w:szCs w:val="18"/>
              </w:rPr>
            </w:pPr>
            <w:r>
              <w:rPr>
                <w:rFonts w:hint="eastAsia" w:ascii="宋体" w:hAnsi="宋体" w:cs="Arial"/>
                <w:kern w:val="0"/>
                <w:sz w:val="18"/>
                <w:szCs w:val="21"/>
              </w:rPr>
              <w:t>层数</w:t>
            </w:r>
          </w:p>
        </w:tc>
        <w:tc>
          <w:tcPr>
            <w:tcW w:w="709" w:type="dxa"/>
            <w:vAlign w:val="center"/>
          </w:tcPr>
          <w:p>
            <w:pPr>
              <w:widowControl/>
              <w:jc w:val="center"/>
              <w:rPr>
                <w:rFonts w:ascii="宋体" w:cs="宋体"/>
                <w:sz w:val="18"/>
                <w:szCs w:val="18"/>
              </w:rPr>
            </w:pPr>
            <w:r>
              <w:rPr>
                <w:rFonts w:hint="eastAsia" w:ascii="宋体" w:hAnsi="宋体" w:cs="Arial"/>
                <w:kern w:val="0"/>
                <w:sz w:val="18"/>
                <w:szCs w:val="21"/>
              </w:rPr>
              <w:t>数量</w:t>
            </w:r>
          </w:p>
        </w:tc>
        <w:tc>
          <w:tcPr>
            <w:tcW w:w="1559" w:type="dxa"/>
            <w:vAlign w:val="center"/>
          </w:tcPr>
          <w:p>
            <w:pPr>
              <w:widowControl/>
              <w:jc w:val="center"/>
              <w:rPr>
                <w:rFonts w:ascii="宋体" w:cs="宋体"/>
                <w:sz w:val="18"/>
                <w:szCs w:val="18"/>
              </w:rPr>
            </w:pPr>
            <w:r>
              <w:rPr>
                <w:rFonts w:hint="eastAsia" w:ascii="宋体" w:hAnsi="宋体" w:cs="Arial"/>
                <w:kern w:val="0"/>
                <w:sz w:val="18"/>
                <w:szCs w:val="21"/>
              </w:rPr>
              <w:t>每台维保单价</w:t>
            </w:r>
          </w:p>
        </w:tc>
        <w:tc>
          <w:tcPr>
            <w:tcW w:w="1439" w:type="dxa"/>
          </w:tcPr>
          <w:p>
            <w:pPr>
              <w:widowControl/>
              <w:spacing w:line="480" w:lineRule="auto"/>
              <w:jc w:val="center"/>
              <w:rPr>
                <w:rFonts w:ascii="宋体" w:cs="Arial"/>
                <w:kern w:val="0"/>
                <w:sz w:val="18"/>
                <w:szCs w:val="21"/>
              </w:rPr>
            </w:pPr>
            <w:r>
              <w:rPr>
                <w:rFonts w:hint="eastAsia" w:ascii="宋体" w:hAnsi="宋体" w:cs="Arial"/>
                <w:kern w:val="0"/>
                <w:sz w:val="18"/>
                <w:szCs w:val="21"/>
              </w:rPr>
              <w:t>合计</w:t>
            </w:r>
          </w:p>
        </w:tc>
        <w:tc>
          <w:tcPr>
            <w:tcW w:w="2126" w:type="dxa"/>
          </w:tcPr>
          <w:p>
            <w:pPr>
              <w:widowControl/>
              <w:spacing w:line="480" w:lineRule="auto"/>
              <w:jc w:val="center"/>
              <w:rPr>
                <w:rFonts w:hint="eastAsia" w:ascii="宋体" w:hAnsi="宋体" w:cs="Arial"/>
                <w:kern w:val="0"/>
                <w:sz w:val="18"/>
                <w:szCs w:val="21"/>
              </w:rPr>
            </w:pPr>
            <w:r>
              <w:rPr>
                <w:rFonts w:hint="eastAsia" w:ascii="宋体" w:hAnsi="宋体" w:cs="Arial"/>
                <w:kern w:val="0"/>
                <w:sz w:val="18"/>
                <w:szCs w:val="21"/>
              </w:rPr>
              <w:t>维保时间</w:t>
            </w:r>
          </w:p>
        </w:tc>
        <w:tc>
          <w:tcPr>
            <w:tcW w:w="1676" w:type="dxa"/>
            <w:vAlign w:val="center"/>
          </w:tcPr>
          <w:p>
            <w:pPr>
              <w:widowControl/>
              <w:jc w:val="center"/>
              <w:rPr>
                <w:rFonts w:ascii="宋体" w:cs="宋体"/>
                <w:sz w:val="18"/>
                <w:szCs w:val="18"/>
              </w:rPr>
            </w:pPr>
            <w:r>
              <w:rPr>
                <w:rFonts w:hint="eastAsia" w:ascii="宋体" w:hAnsi="宋体" w:cs="Arial"/>
                <w:kern w:val="0"/>
                <w:sz w:val="18"/>
                <w:szCs w:val="21"/>
              </w:rPr>
              <w:t>（规格型号）备注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widowControl/>
              <w:jc w:val="center"/>
              <w:rPr>
                <w:rFonts w:ascii="宋体" w:cs="宋体"/>
                <w:sz w:val="18"/>
                <w:szCs w:val="18"/>
              </w:rPr>
            </w:pPr>
            <w:r>
              <w:rPr>
                <w:rFonts w:hint="eastAsia" w:ascii="宋体" w:hAnsi="宋体" w:cs="宋体"/>
                <w:sz w:val="18"/>
                <w:szCs w:val="18"/>
              </w:rPr>
              <w:t>客</w:t>
            </w:r>
            <w:r>
              <w:rPr>
                <w:rFonts w:ascii="宋体" w:hAnsi="宋体" w:cs="宋体"/>
                <w:sz w:val="18"/>
                <w:szCs w:val="18"/>
              </w:rPr>
              <w:t xml:space="preserve"> </w:t>
            </w:r>
            <w:r>
              <w:rPr>
                <w:rFonts w:hint="eastAsia" w:ascii="宋体" w:hAnsi="宋体" w:cs="宋体"/>
                <w:sz w:val="18"/>
                <w:szCs w:val="18"/>
              </w:rPr>
              <w:t>梯</w:t>
            </w:r>
          </w:p>
        </w:tc>
        <w:tc>
          <w:tcPr>
            <w:tcW w:w="1296" w:type="dxa"/>
            <w:vAlign w:val="center"/>
          </w:tcPr>
          <w:p>
            <w:pPr>
              <w:widowControl/>
              <w:jc w:val="center"/>
              <w:rPr>
                <w:rFonts w:ascii="宋体" w:cs="宋体"/>
                <w:sz w:val="18"/>
                <w:szCs w:val="18"/>
              </w:rPr>
            </w:pPr>
            <w:r>
              <w:rPr>
                <w:rFonts w:hint="eastAsia" w:ascii="宋体" w:hAnsi="宋体" w:cs="宋体"/>
                <w:sz w:val="18"/>
                <w:szCs w:val="18"/>
              </w:rPr>
              <w:t>蒂森克虏伯</w:t>
            </w:r>
          </w:p>
        </w:tc>
        <w:tc>
          <w:tcPr>
            <w:tcW w:w="567" w:type="dxa"/>
            <w:vAlign w:val="center"/>
          </w:tcPr>
          <w:p>
            <w:pPr>
              <w:widowControl/>
              <w:jc w:val="center"/>
              <w:rPr>
                <w:rFonts w:ascii="宋体" w:cs="宋体"/>
                <w:sz w:val="18"/>
                <w:szCs w:val="18"/>
              </w:rPr>
            </w:pPr>
            <w:r>
              <w:rPr>
                <w:rFonts w:hint="eastAsia" w:ascii="宋体" w:cs="宋体"/>
                <w:sz w:val="18"/>
                <w:szCs w:val="18"/>
              </w:rPr>
              <w:t>11</w:t>
            </w:r>
          </w:p>
        </w:tc>
        <w:tc>
          <w:tcPr>
            <w:tcW w:w="709" w:type="dxa"/>
            <w:vAlign w:val="center"/>
          </w:tcPr>
          <w:p>
            <w:pPr>
              <w:widowControl/>
              <w:jc w:val="center"/>
              <w:rPr>
                <w:rFonts w:ascii="宋体" w:cs="宋体"/>
                <w:sz w:val="18"/>
                <w:szCs w:val="18"/>
              </w:rPr>
            </w:pPr>
            <w:r>
              <w:rPr>
                <w:rFonts w:hint="eastAsia" w:ascii="宋体" w:cs="宋体"/>
                <w:sz w:val="18"/>
                <w:szCs w:val="18"/>
              </w:rPr>
              <w:t>2台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restart"/>
          </w:tcPr>
          <w:p>
            <w:pPr>
              <w:widowControl/>
              <w:spacing w:line="720" w:lineRule="auto"/>
              <w:jc w:val="center"/>
              <w:rPr>
                <w:rFonts w:hint="eastAsia" w:ascii="宋体" w:hAnsi="宋体" w:cs="Arial"/>
                <w:kern w:val="0"/>
                <w:sz w:val="18"/>
                <w:szCs w:val="21"/>
              </w:rPr>
            </w:pPr>
            <w:r>
              <w:rPr>
                <w:rFonts w:hint="eastAsia" w:ascii="宋体" w:hAnsi="宋体" w:cs="Arial"/>
                <w:kern w:val="0"/>
                <w:sz w:val="18"/>
                <w:szCs w:val="21"/>
              </w:rPr>
              <w:t>2020.2.8-2021.5.31</w:t>
            </w:r>
          </w:p>
        </w:tc>
        <w:tc>
          <w:tcPr>
            <w:tcW w:w="1676" w:type="dxa"/>
            <w:vMerge w:val="restart"/>
            <w:vAlign w:val="center"/>
          </w:tcPr>
          <w:p>
            <w:pPr>
              <w:widowControl/>
              <w:jc w:val="center"/>
              <w:rPr>
                <w:rFonts w:ascii="宋体" w:cs="宋体"/>
                <w:sz w:val="18"/>
                <w:szCs w:val="18"/>
              </w:rPr>
            </w:pPr>
            <w:r>
              <w:rPr>
                <w:rFonts w:hint="eastAsia" w:ascii="宋体" w:hAnsi="宋体" w:cs="Arial"/>
                <w:kern w:val="0"/>
                <w:sz w:val="18"/>
                <w:szCs w:val="21"/>
              </w:rPr>
              <w:t>因疫情原因养老机构封闭管理，不支持现场踏勘，联系后勤保障部施捷18761701050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hAnsi="宋体" w:cs="宋体"/>
                <w:sz w:val="18"/>
                <w:szCs w:val="18"/>
              </w:rPr>
              <w:t>蒂森克虏伯</w:t>
            </w:r>
          </w:p>
        </w:tc>
        <w:tc>
          <w:tcPr>
            <w:tcW w:w="567" w:type="dxa"/>
            <w:vAlign w:val="center"/>
          </w:tcPr>
          <w:p>
            <w:pPr>
              <w:widowControl/>
              <w:jc w:val="center"/>
              <w:rPr>
                <w:rFonts w:ascii="宋体" w:cs="宋体"/>
                <w:sz w:val="18"/>
                <w:szCs w:val="18"/>
              </w:rPr>
            </w:pPr>
            <w:r>
              <w:rPr>
                <w:rFonts w:hint="eastAsia" w:ascii="宋体" w:cs="宋体"/>
                <w:sz w:val="18"/>
                <w:szCs w:val="18"/>
              </w:rPr>
              <w:t>10</w:t>
            </w:r>
          </w:p>
        </w:tc>
        <w:tc>
          <w:tcPr>
            <w:tcW w:w="709" w:type="dxa"/>
            <w:vAlign w:val="center"/>
          </w:tcPr>
          <w:p>
            <w:pPr>
              <w:widowControl/>
              <w:jc w:val="center"/>
              <w:rPr>
                <w:rFonts w:ascii="宋体" w:cs="宋体"/>
                <w:sz w:val="18"/>
                <w:szCs w:val="18"/>
              </w:rPr>
            </w:pPr>
            <w:r>
              <w:rPr>
                <w:rFonts w:hint="eastAsia" w:ascii="宋体" w:cs="宋体"/>
                <w:sz w:val="18"/>
                <w:szCs w:val="18"/>
              </w:rPr>
              <w:t>1台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continue"/>
          </w:tcPr>
          <w:p>
            <w:pPr>
              <w:widowControl/>
              <w:jc w:val="center"/>
              <w:rPr>
                <w:rFonts w:ascii="宋体" w:cs="宋体"/>
                <w:sz w:val="18"/>
                <w:szCs w:val="18"/>
              </w:rPr>
            </w:pP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hAnsi="宋体" w:cs="宋体"/>
                <w:sz w:val="18"/>
                <w:szCs w:val="18"/>
              </w:rPr>
              <w:t>蒂森克虏伯</w:t>
            </w:r>
          </w:p>
        </w:tc>
        <w:tc>
          <w:tcPr>
            <w:tcW w:w="567" w:type="dxa"/>
            <w:vAlign w:val="center"/>
          </w:tcPr>
          <w:p>
            <w:pPr>
              <w:widowControl/>
              <w:jc w:val="center"/>
              <w:rPr>
                <w:rFonts w:ascii="宋体" w:cs="宋体"/>
                <w:sz w:val="18"/>
                <w:szCs w:val="18"/>
              </w:rPr>
            </w:pPr>
            <w:r>
              <w:rPr>
                <w:rFonts w:hint="eastAsia" w:ascii="宋体" w:cs="宋体"/>
                <w:sz w:val="18"/>
                <w:szCs w:val="18"/>
              </w:rPr>
              <w:t>12</w:t>
            </w:r>
          </w:p>
        </w:tc>
        <w:tc>
          <w:tcPr>
            <w:tcW w:w="709" w:type="dxa"/>
            <w:vAlign w:val="center"/>
          </w:tcPr>
          <w:p>
            <w:pPr>
              <w:widowControl/>
              <w:jc w:val="center"/>
              <w:rPr>
                <w:rFonts w:ascii="宋体" w:cs="宋体"/>
                <w:sz w:val="18"/>
                <w:szCs w:val="18"/>
              </w:rPr>
            </w:pPr>
            <w:r>
              <w:rPr>
                <w:rFonts w:hint="eastAsia" w:ascii="宋体" w:cs="宋体"/>
                <w:sz w:val="18"/>
                <w:szCs w:val="18"/>
              </w:rPr>
              <w:t>1台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continue"/>
          </w:tcPr>
          <w:p>
            <w:pPr>
              <w:widowControl/>
              <w:jc w:val="center"/>
              <w:rPr>
                <w:rFonts w:ascii="宋体" w:cs="宋体"/>
                <w:sz w:val="18"/>
                <w:szCs w:val="18"/>
              </w:rPr>
            </w:pP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cs="宋体"/>
                <w:sz w:val="18"/>
                <w:szCs w:val="18"/>
              </w:rPr>
              <w:t>帝奥</w:t>
            </w:r>
          </w:p>
        </w:tc>
        <w:tc>
          <w:tcPr>
            <w:tcW w:w="567" w:type="dxa"/>
            <w:vAlign w:val="center"/>
          </w:tcPr>
          <w:p>
            <w:pPr>
              <w:widowControl/>
              <w:jc w:val="center"/>
              <w:rPr>
                <w:rFonts w:ascii="宋体" w:cs="宋体"/>
                <w:sz w:val="18"/>
                <w:szCs w:val="18"/>
              </w:rPr>
            </w:pPr>
            <w:r>
              <w:rPr>
                <w:rFonts w:hint="eastAsia" w:ascii="宋体" w:cs="宋体"/>
                <w:sz w:val="18"/>
                <w:szCs w:val="18"/>
              </w:rPr>
              <w:t>11</w:t>
            </w:r>
          </w:p>
        </w:tc>
        <w:tc>
          <w:tcPr>
            <w:tcW w:w="709" w:type="dxa"/>
            <w:vAlign w:val="center"/>
          </w:tcPr>
          <w:p>
            <w:pPr>
              <w:widowControl/>
              <w:jc w:val="center"/>
              <w:rPr>
                <w:rFonts w:ascii="宋体" w:cs="宋体"/>
                <w:sz w:val="18"/>
                <w:szCs w:val="18"/>
              </w:rPr>
            </w:pPr>
            <w:r>
              <w:rPr>
                <w:rFonts w:hint="eastAsia" w:ascii="宋体" w:cs="宋体"/>
                <w:sz w:val="18"/>
                <w:szCs w:val="18"/>
              </w:rPr>
              <w:t>2台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tcPr>
          <w:p>
            <w:pPr>
              <w:widowControl/>
              <w:jc w:val="center"/>
              <w:rPr>
                <w:rFonts w:ascii="宋体" w:cs="宋体"/>
                <w:sz w:val="18"/>
                <w:szCs w:val="18"/>
              </w:rPr>
            </w:pPr>
            <w:r>
              <w:rPr>
                <w:rFonts w:hint="eastAsia" w:ascii="宋体" w:cs="宋体"/>
                <w:sz w:val="18"/>
                <w:szCs w:val="18"/>
              </w:rPr>
              <w:t>2020.6.1-2021.5.31</w:t>
            </w: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cs="宋体"/>
                <w:sz w:val="18"/>
                <w:szCs w:val="18"/>
              </w:rPr>
              <w:t>三星</w:t>
            </w:r>
          </w:p>
        </w:tc>
        <w:tc>
          <w:tcPr>
            <w:tcW w:w="567" w:type="dxa"/>
            <w:vAlign w:val="center"/>
          </w:tcPr>
          <w:p>
            <w:pPr>
              <w:widowControl/>
              <w:jc w:val="center"/>
              <w:rPr>
                <w:rFonts w:ascii="宋体" w:cs="宋体"/>
                <w:sz w:val="18"/>
                <w:szCs w:val="18"/>
              </w:rPr>
            </w:pPr>
            <w:r>
              <w:rPr>
                <w:rFonts w:hint="eastAsia" w:ascii="宋体" w:cs="宋体"/>
                <w:sz w:val="18"/>
                <w:szCs w:val="18"/>
              </w:rPr>
              <w:t>20</w:t>
            </w:r>
          </w:p>
        </w:tc>
        <w:tc>
          <w:tcPr>
            <w:tcW w:w="709" w:type="dxa"/>
            <w:vAlign w:val="center"/>
          </w:tcPr>
          <w:p>
            <w:pPr>
              <w:widowControl/>
              <w:jc w:val="center"/>
              <w:rPr>
                <w:rFonts w:ascii="宋体" w:cs="宋体"/>
                <w:sz w:val="18"/>
                <w:szCs w:val="18"/>
              </w:rPr>
            </w:pPr>
            <w:r>
              <w:rPr>
                <w:rFonts w:hint="eastAsia" w:ascii="宋体" w:cs="宋体"/>
                <w:sz w:val="18"/>
                <w:szCs w:val="18"/>
              </w:rPr>
              <w:t>2台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tcPr>
          <w:p>
            <w:pPr>
              <w:widowControl/>
              <w:jc w:val="center"/>
              <w:rPr>
                <w:rFonts w:ascii="宋体" w:cs="宋体"/>
                <w:sz w:val="18"/>
                <w:szCs w:val="18"/>
              </w:rPr>
            </w:pPr>
            <w:r>
              <w:rPr>
                <w:rFonts w:hint="eastAsia" w:ascii="宋体" w:cs="宋体"/>
                <w:sz w:val="18"/>
                <w:szCs w:val="18"/>
              </w:rPr>
              <w:t>2020.4.20-2021.5.31</w:t>
            </w: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cs="宋体"/>
                <w:sz w:val="18"/>
                <w:szCs w:val="18"/>
              </w:rPr>
              <w:t>奥的斯</w:t>
            </w:r>
          </w:p>
        </w:tc>
        <w:tc>
          <w:tcPr>
            <w:tcW w:w="567" w:type="dxa"/>
            <w:vAlign w:val="center"/>
          </w:tcPr>
          <w:p>
            <w:pPr>
              <w:widowControl/>
              <w:jc w:val="center"/>
              <w:rPr>
                <w:rFonts w:ascii="宋体" w:cs="宋体"/>
                <w:sz w:val="18"/>
                <w:szCs w:val="18"/>
              </w:rPr>
            </w:pPr>
            <w:r>
              <w:rPr>
                <w:rFonts w:hint="eastAsia" w:ascii="宋体" w:cs="宋体"/>
                <w:sz w:val="18"/>
                <w:szCs w:val="18"/>
              </w:rPr>
              <w:t>10</w:t>
            </w:r>
          </w:p>
        </w:tc>
        <w:tc>
          <w:tcPr>
            <w:tcW w:w="709" w:type="dxa"/>
            <w:vAlign w:val="center"/>
          </w:tcPr>
          <w:p>
            <w:pPr>
              <w:widowControl/>
              <w:jc w:val="center"/>
              <w:rPr>
                <w:rFonts w:ascii="宋体" w:cs="宋体"/>
                <w:sz w:val="18"/>
                <w:szCs w:val="18"/>
              </w:rPr>
            </w:pPr>
            <w:r>
              <w:rPr>
                <w:rFonts w:hint="eastAsia" w:ascii="宋体" w:cs="宋体"/>
                <w:sz w:val="18"/>
                <w:szCs w:val="18"/>
              </w:rPr>
              <w:t>1台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restart"/>
          </w:tcPr>
          <w:p>
            <w:pPr>
              <w:widowControl/>
              <w:spacing w:line="480" w:lineRule="auto"/>
              <w:jc w:val="center"/>
              <w:rPr>
                <w:rFonts w:ascii="宋体" w:cs="宋体"/>
                <w:sz w:val="18"/>
                <w:szCs w:val="18"/>
              </w:rPr>
            </w:pPr>
            <w:r>
              <w:rPr>
                <w:rFonts w:hint="eastAsia" w:ascii="宋体" w:cs="宋体"/>
                <w:sz w:val="18"/>
                <w:szCs w:val="18"/>
              </w:rPr>
              <w:t>2020.4.1-2021.5.31</w:t>
            </w: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widowControl/>
              <w:jc w:val="center"/>
              <w:rPr>
                <w:rFonts w:ascii="宋体" w:cs="宋体"/>
                <w:sz w:val="18"/>
                <w:szCs w:val="18"/>
              </w:rPr>
            </w:pPr>
          </w:p>
        </w:tc>
        <w:tc>
          <w:tcPr>
            <w:tcW w:w="1296" w:type="dxa"/>
            <w:vAlign w:val="center"/>
          </w:tcPr>
          <w:p>
            <w:pPr>
              <w:widowControl/>
              <w:jc w:val="center"/>
              <w:rPr>
                <w:rFonts w:ascii="宋体" w:cs="宋体"/>
                <w:sz w:val="18"/>
                <w:szCs w:val="18"/>
              </w:rPr>
            </w:pPr>
            <w:r>
              <w:rPr>
                <w:rFonts w:hint="eastAsia" w:ascii="宋体" w:cs="宋体"/>
                <w:sz w:val="18"/>
                <w:szCs w:val="18"/>
              </w:rPr>
              <w:t>奥的斯</w:t>
            </w:r>
          </w:p>
        </w:tc>
        <w:tc>
          <w:tcPr>
            <w:tcW w:w="567" w:type="dxa"/>
            <w:vAlign w:val="center"/>
          </w:tcPr>
          <w:p>
            <w:pPr>
              <w:widowControl/>
              <w:jc w:val="center"/>
              <w:rPr>
                <w:rFonts w:ascii="宋体" w:cs="宋体"/>
                <w:sz w:val="18"/>
                <w:szCs w:val="18"/>
              </w:rPr>
            </w:pPr>
            <w:r>
              <w:rPr>
                <w:rFonts w:hint="eastAsia" w:ascii="宋体" w:cs="宋体"/>
                <w:sz w:val="18"/>
                <w:szCs w:val="18"/>
              </w:rPr>
              <w:t>12</w:t>
            </w:r>
          </w:p>
        </w:tc>
        <w:tc>
          <w:tcPr>
            <w:tcW w:w="709" w:type="dxa"/>
            <w:vAlign w:val="center"/>
          </w:tcPr>
          <w:p>
            <w:pPr>
              <w:widowControl/>
              <w:jc w:val="center"/>
              <w:rPr>
                <w:rFonts w:ascii="宋体" w:cs="宋体"/>
                <w:sz w:val="18"/>
                <w:szCs w:val="18"/>
              </w:rPr>
            </w:pPr>
            <w:r>
              <w:rPr>
                <w:rFonts w:hint="eastAsia" w:ascii="宋体" w:cs="宋体"/>
                <w:sz w:val="18"/>
                <w:szCs w:val="18"/>
              </w:rPr>
              <w:t>1台</w:t>
            </w:r>
          </w:p>
        </w:tc>
        <w:tc>
          <w:tcPr>
            <w:tcW w:w="1559" w:type="dxa"/>
            <w:vAlign w:val="center"/>
          </w:tcPr>
          <w:p>
            <w:pPr>
              <w:widowControl/>
              <w:jc w:val="left"/>
              <w:rPr>
                <w:rFonts w:ascii="宋体" w:cs="宋体"/>
                <w:sz w:val="18"/>
                <w:szCs w:val="18"/>
              </w:rPr>
            </w:pPr>
          </w:p>
        </w:tc>
        <w:tc>
          <w:tcPr>
            <w:tcW w:w="1439" w:type="dxa"/>
          </w:tcPr>
          <w:p>
            <w:pPr>
              <w:widowControl/>
              <w:jc w:val="center"/>
              <w:rPr>
                <w:rFonts w:ascii="宋体" w:cs="Arial"/>
                <w:kern w:val="0"/>
                <w:sz w:val="18"/>
                <w:szCs w:val="21"/>
              </w:rPr>
            </w:pPr>
          </w:p>
        </w:tc>
        <w:tc>
          <w:tcPr>
            <w:tcW w:w="2126" w:type="dxa"/>
            <w:vMerge w:val="continue"/>
          </w:tcPr>
          <w:p>
            <w:pPr>
              <w:widowControl/>
              <w:jc w:val="center"/>
              <w:rPr>
                <w:rFonts w:ascii="宋体" w:cs="宋体"/>
                <w:sz w:val="18"/>
                <w:szCs w:val="18"/>
              </w:rPr>
            </w:pPr>
          </w:p>
        </w:tc>
        <w:tc>
          <w:tcPr>
            <w:tcW w:w="1676" w:type="dxa"/>
            <w:vMerge w:val="continue"/>
            <w:vAlign w:val="center"/>
          </w:tcPr>
          <w:p>
            <w:pPr>
              <w:widowControl/>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7" w:type="dxa"/>
            <w:gridSpan w:val="5"/>
            <w:vAlign w:val="center"/>
          </w:tcPr>
          <w:p>
            <w:pPr>
              <w:widowControl/>
              <w:jc w:val="center"/>
              <w:rPr>
                <w:rFonts w:ascii="宋体" w:cs="宋体"/>
                <w:sz w:val="18"/>
                <w:szCs w:val="18"/>
              </w:rPr>
            </w:pPr>
            <w:r>
              <w:rPr>
                <w:rFonts w:hint="eastAsia" w:ascii="宋体" w:hAnsi="宋体" w:cs="宋体"/>
                <w:sz w:val="18"/>
                <w:szCs w:val="18"/>
              </w:rPr>
              <w:t>总价</w:t>
            </w:r>
            <w:r>
              <w:rPr>
                <w:rFonts w:ascii="宋体" w:hAnsi="宋体" w:cs="宋体"/>
                <w:sz w:val="18"/>
                <w:szCs w:val="18"/>
              </w:rPr>
              <w:t>(</w:t>
            </w:r>
            <w:r>
              <w:rPr>
                <w:rFonts w:hint="eastAsia" w:ascii="宋体" w:hAnsi="宋体" w:cs="宋体"/>
                <w:sz w:val="18"/>
                <w:szCs w:val="18"/>
              </w:rPr>
              <w:t>元</w:t>
            </w:r>
            <w:r>
              <w:rPr>
                <w:rFonts w:ascii="宋体" w:hAnsi="宋体" w:cs="宋体"/>
                <w:sz w:val="18"/>
                <w:szCs w:val="18"/>
              </w:rPr>
              <w:t>)</w:t>
            </w:r>
          </w:p>
        </w:tc>
        <w:tc>
          <w:tcPr>
            <w:tcW w:w="1439" w:type="dxa"/>
          </w:tcPr>
          <w:p>
            <w:pPr>
              <w:widowControl/>
              <w:jc w:val="center"/>
              <w:rPr>
                <w:rFonts w:ascii="宋体" w:cs="宋体"/>
                <w:sz w:val="18"/>
                <w:szCs w:val="18"/>
              </w:rPr>
            </w:pPr>
          </w:p>
        </w:tc>
        <w:tc>
          <w:tcPr>
            <w:tcW w:w="3802" w:type="dxa"/>
            <w:gridSpan w:val="2"/>
          </w:tcPr>
          <w:p>
            <w:pPr>
              <w:widowControl/>
              <w:jc w:val="center"/>
              <w:rPr>
                <w:rFonts w:ascii="宋体" w:cs="宋体"/>
                <w:sz w:val="18"/>
                <w:szCs w:val="18"/>
              </w:rPr>
            </w:pPr>
          </w:p>
        </w:tc>
      </w:tr>
    </w:tbl>
    <w:p>
      <w:pPr>
        <w:widowControl/>
        <w:spacing w:line="380" w:lineRule="exact"/>
        <w:jc w:val="left"/>
        <w:rPr>
          <w:rFonts w:ascii="宋体"/>
          <w:b/>
          <w:bCs/>
          <w:kern w:val="0"/>
          <w:szCs w:val="21"/>
        </w:rPr>
      </w:pPr>
    </w:p>
    <w:p>
      <w:pPr>
        <w:widowControl/>
        <w:spacing w:line="380" w:lineRule="exact"/>
        <w:jc w:val="left"/>
        <w:rPr>
          <w:rFonts w:ascii="宋体"/>
          <w:b/>
          <w:kern w:val="0"/>
          <w:szCs w:val="21"/>
        </w:rPr>
      </w:pPr>
      <w:r>
        <w:rPr>
          <w:rFonts w:hint="eastAsia" w:ascii="宋体" w:hAnsi="宋体"/>
          <w:b/>
          <w:kern w:val="0"/>
          <w:szCs w:val="21"/>
        </w:rPr>
        <w:t>二、主要性能：见现场电梯型号</w:t>
      </w:r>
    </w:p>
    <w:p>
      <w:pPr>
        <w:spacing w:line="380" w:lineRule="exact"/>
        <w:ind w:firstLine="200"/>
        <w:jc w:val="center"/>
        <w:rPr>
          <w:rFonts w:ascii="宋体"/>
          <w:b/>
          <w:sz w:val="28"/>
          <w:szCs w:val="28"/>
        </w:rPr>
      </w:pPr>
      <w:r>
        <w:rPr>
          <w:rFonts w:hint="eastAsia" w:ascii="宋体" w:hAnsi="宋体"/>
          <w:b/>
          <w:sz w:val="28"/>
          <w:szCs w:val="28"/>
        </w:rPr>
        <w:t>第二章</w:t>
      </w:r>
      <w:r>
        <w:rPr>
          <w:rFonts w:ascii="宋体" w:hAnsi="宋体"/>
          <w:b/>
          <w:sz w:val="28"/>
          <w:szCs w:val="28"/>
        </w:rPr>
        <w:t xml:space="preserve"> </w:t>
      </w:r>
      <w:r>
        <w:rPr>
          <w:rFonts w:hint="eastAsia" w:ascii="宋体" w:hAnsi="宋体"/>
          <w:b/>
          <w:sz w:val="28"/>
          <w:szCs w:val="28"/>
        </w:rPr>
        <w:t>采购（服务）项目商务要求</w:t>
      </w:r>
    </w:p>
    <w:p>
      <w:pPr>
        <w:widowControl/>
        <w:spacing w:line="360" w:lineRule="auto"/>
        <w:ind w:firstLine="480" w:firstLineChars="200"/>
        <w:jc w:val="left"/>
        <w:rPr>
          <w:rFonts w:ascii="宋体"/>
          <w:sz w:val="24"/>
        </w:rPr>
      </w:pPr>
      <w:r>
        <w:rPr>
          <w:rFonts w:ascii="宋体" w:hAnsi="宋体"/>
          <w:sz w:val="24"/>
        </w:rPr>
        <w:t>1</w:t>
      </w:r>
      <w:r>
        <w:rPr>
          <w:rFonts w:hint="eastAsia" w:ascii="宋体" w:hAnsi="宋体"/>
          <w:sz w:val="24"/>
        </w:rPr>
        <w:t>、报价要求：</w:t>
      </w:r>
    </w:p>
    <w:p>
      <w:pPr>
        <w:widowControl/>
        <w:spacing w:line="360" w:lineRule="auto"/>
        <w:ind w:firstLine="480" w:firstLineChars="200"/>
        <w:jc w:val="left"/>
        <w:rPr>
          <w:rFonts w:ascii="宋体"/>
          <w:sz w:val="24"/>
        </w:rPr>
      </w:pPr>
      <w:r>
        <w:rPr>
          <w:rFonts w:ascii="宋体" w:hAnsi="宋体"/>
          <w:sz w:val="24"/>
        </w:rPr>
        <w:t xml:space="preserve"> 1</w:t>
      </w:r>
      <w:r>
        <w:rPr>
          <w:rFonts w:hint="eastAsia" w:ascii="宋体" w:hAnsi="宋体"/>
          <w:sz w:val="24"/>
        </w:rPr>
        <w:t>、维保费用</w:t>
      </w:r>
      <w:r>
        <w:rPr>
          <w:rFonts w:hint="eastAsia" w:ascii="宋体" w:hAnsi="宋体"/>
          <w:sz w:val="24"/>
          <w:highlight w:val="yellow"/>
        </w:rPr>
        <w:t>支付方式：自合同生效之日起半年后付合同年总价的</w:t>
      </w:r>
      <w:r>
        <w:rPr>
          <w:rFonts w:ascii="宋体" w:hAnsi="宋体"/>
          <w:sz w:val="24"/>
          <w:highlight w:val="yellow"/>
        </w:rPr>
        <w:t>50%</w:t>
      </w:r>
      <w:r>
        <w:rPr>
          <w:rFonts w:hint="eastAsia" w:ascii="宋体" w:hAnsi="宋体"/>
          <w:sz w:val="24"/>
          <w:highlight w:val="yellow"/>
        </w:rPr>
        <w:t>，待该合同履行期满</w:t>
      </w:r>
      <w:r>
        <w:rPr>
          <w:rFonts w:ascii="宋体" w:hAnsi="宋体"/>
          <w:sz w:val="24"/>
          <w:highlight w:val="yellow"/>
        </w:rPr>
        <w:t>1</w:t>
      </w:r>
      <w:r>
        <w:rPr>
          <w:rFonts w:hint="eastAsia" w:ascii="宋体" w:hAnsi="宋体"/>
          <w:sz w:val="24"/>
          <w:highlight w:val="yellow"/>
        </w:rPr>
        <w:t>月内支付剩余</w:t>
      </w:r>
      <w:r>
        <w:rPr>
          <w:rFonts w:ascii="宋体" w:hAnsi="宋体"/>
          <w:sz w:val="24"/>
          <w:highlight w:val="yellow"/>
        </w:rPr>
        <w:t>50%</w:t>
      </w:r>
      <w:r>
        <w:rPr>
          <w:rFonts w:hint="eastAsia" w:ascii="宋体" w:hAnsi="宋体"/>
          <w:sz w:val="24"/>
          <w:highlight w:val="yellow"/>
        </w:rPr>
        <w:t>。</w:t>
      </w:r>
    </w:p>
    <w:p>
      <w:pPr>
        <w:spacing w:line="440" w:lineRule="exact"/>
        <w:ind w:firstLine="480" w:firstLineChars="200"/>
        <w:rPr>
          <w:rFonts w:ascii="仿宋" w:hAnsi="仿宋" w:eastAsia="仿宋" w:cs="仿宋"/>
          <w:color w:val="000000"/>
          <w:sz w:val="28"/>
          <w:szCs w:val="28"/>
        </w:rPr>
      </w:pPr>
      <w:r>
        <w:rPr>
          <w:rFonts w:ascii="宋体" w:hAnsi="宋体"/>
          <w:sz w:val="24"/>
        </w:rPr>
        <w:t>2</w:t>
      </w:r>
      <w:r>
        <w:rPr>
          <w:rFonts w:hint="eastAsia" w:ascii="宋体" w:hAnsi="宋体"/>
          <w:sz w:val="24"/>
          <w:highlight w:val="yellow"/>
        </w:rPr>
        <w:t>、维保期：一年。</w:t>
      </w:r>
      <w:r>
        <w:rPr>
          <w:rFonts w:hint="eastAsia" w:ascii="仿宋" w:hAnsi="仿宋" w:eastAsia="仿宋" w:cs="仿宋"/>
          <w:color w:val="000000"/>
          <w:sz w:val="28"/>
          <w:szCs w:val="28"/>
        </w:rPr>
        <w:t>维修保养期限届满前三十日内，甲方根据乙方全年工作情况，明确是否继续与中标人续签维保合同，合同一年一签，续签最多2年。</w:t>
      </w:r>
    </w:p>
    <w:p>
      <w:pPr>
        <w:widowControl/>
        <w:spacing w:line="360" w:lineRule="auto"/>
        <w:ind w:firstLine="480" w:firstLineChars="200"/>
        <w:jc w:val="left"/>
        <w:rPr>
          <w:rFonts w:ascii="宋体"/>
          <w:sz w:val="24"/>
        </w:rPr>
      </w:pPr>
      <w:r>
        <w:rPr>
          <w:rFonts w:ascii="宋体" w:hAnsi="宋体"/>
          <w:sz w:val="24"/>
        </w:rPr>
        <w:t>3</w:t>
      </w:r>
      <w:r>
        <w:rPr>
          <w:rFonts w:hint="eastAsia" w:ascii="宋体" w:hAnsi="宋体"/>
          <w:sz w:val="24"/>
        </w:rPr>
        <w:t>、无论投标结果如何，投标人自行承担与投标响应有关的全部费用。</w:t>
      </w:r>
    </w:p>
    <w:p>
      <w:pPr>
        <w:spacing w:line="360" w:lineRule="auto"/>
        <w:jc w:val="center"/>
        <w:rPr>
          <w:rFonts w:ascii="宋体"/>
          <w:b/>
          <w:sz w:val="44"/>
          <w:szCs w:val="44"/>
        </w:rPr>
      </w:pPr>
      <w:bookmarkStart w:id="6" w:name="_Toc52352447"/>
      <w:r>
        <w:rPr>
          <w:rFonts w:ascii="宋体"/>
          <w:b/>
          <w:bCs/>
          <w:sz w:val="44"/>
          <w:szCs w:val="44"/>
        </w:rPr>
        <w:br w:type="page"/>
      </w:r>
      <w:r>
        <w:rPr>
          <w:rFonts w:hint="eastAsia" w:ascii="宋体" w:hAnsi="宋体"/>
          <w:b/>
          <w:bCs/>
          <w:sz w:val="44"/>
          <w:szCs w:val="44"/>
        </w:rPr>
        <w:t>第三部分</w:t>
      </w:r>
      <w:r>
        <w:rPr>
          <w:rFonts w:ascii="宋体" w:hAnsi="宋体"/>
          <w:b/>
          <w:bCs/>
          <w:sz w:val="44"/>
          <w:szCs w:val="44"/>
        </w:rPr>
        <w:t xml:space="preserve">   </w:t>
      </w:r>
      <w:bookmarkEnd w:id="6"/>
      <w:r>
        <w:rPr>
          <w:rFonts w:hint="eastAsia" w:ascii="宋体" w:hAnsi="宋体"/>
          <w:b/>
          <w:bCs/>
          <w:sz w:val="44"/>
          <w:szCs w:val="44"/>
        </w:rPr>
        <w:t>投标人须知</w:t>
      </w:r>
    </w:p>
    <w:p>
      <w:pPr>
        <w:pStyle w:val="3"/>
        <w:rPr>
          <w:rFonts w:ascii="宋体" w:hAnsi="宋体" w:eastAsia="宋体"/>
        </w:rPr>
      </w:pPr>
      <w:r>
        <w:rPr>
          <w:rFonts w:hint="eastAsia" w:ascii="宋体" w:hAnsi="宋体" w:eastAsia="宋体"/>
        </w:rPr>
        <w:t>一、招标采购（服务）文件说明</w:t>
      </w:r>
    </w:p>
    <w:p>
      <w:pPr>
        <w:widowControl/>
        <w:spacing w:line="360" w:lineRule="auto"/>
        <w:ind w:firstLine="480" w:firstLineChars="200"/>
        <w:jc w:val="left"/>
        <w:rPr>
          <w:rFonts w:ascii="宋体"/>
          <w:sz w:val="24"/>
          <w:lang w:val="en-GB"/>
        </w:rPr>
      </w:pPr>
      <w:r>
        <w:rPr>
          <w:rFonts w:ascii="宋体" w:hAnsi="宋体"/>
          <w:sz w:val="24"/>
          <w:lang w:val="en-GB"/>
        </w:rPr>
        <w:t>1</w:t>
      </w:r>
      <w:r>
        <w:rPr>
          <w:rFonts w:hint="eastAsia" w:ascii="宋体" w:hAnsi="宋体"/>
          <w:sz w:val="24"/>
          <w:lang w:val="en-GB"/>
        </w:rPr>
        <w:t>、</w:t>
      </w:r>
      <w:r>
        <w:rPr>
          <w:rFonts w:ascii="宋体" w:hAnsi="宋体"/>
          <w:sz w:val="24"/>
          <w:lang w:val="en-GB"/>
        </w:rPr>
        <w:t xml:space="preserve"> </w:t>
      </w:r>
      <w:r>
        <w:rPr>
          <w:rFonts w:hint="eastAsia" w:ascii="宋体" w:hAnsi="宋体"/>
          <w:sz w:val="24"/>
        </w:rPr>
        <w:t>招标采购（服务）文件由招标方负责解释。</w:t>
      </w:r>
    </w:p>
    <w:p>
      <w:pPr>
        <w:widowControl/>
        <w:spacing w:line="360" w:lineRule="auto"/>
        <w:ind w:firstLine="480" w:firstLineChars="200"/>
        <w:jc w:val="left"/>
        <w:rPr>
          <w:rFonts w:ascii="宋体"/>
          <w:sz w:val="24"/>
        </w:rPr>
      </w:pPr>
      <w:r>
        <w:rPr>
          <w:rFonts w:ascii="宋体" w:hAnsi="宋体"/>
          <w:sz w:val="24"/>
          <w:lang w:val="en-GB"/>
        </w:rPr>
        <w:t>2</w:t>
      </w:r>
      <w:r>
        <w:rPr>
          <w:rFonts w:hint="eastAsia" w:ascii="宋体" w:hAnsi="宋体"/>
          <w:sz w:val="24"/>
          <w:lang w:val="en-GB"/>
        </w:rPr>
        <w:t>、</w:t>
      </w:r>
      <w:r>
        <w:rPr>
          <w:rFonts w:ascii="宋体" w:hAnsi="宋体"/>
          <w:sz w:val="24"/>
          <w:lang w:val="en-GB"/>
        </w:rPr>
        <w:t xml:space="preserve"> </w:t>
      </w:r>
      <w:r>
        <w:rPr>
          <w:rFonts w:hint="eastAsia" w:ascii="宋体" w:hAnsi="宋体"/>
          <w:sz w:val="24"/>
        </w:rPr>
        <w:t>招标采购（服务）文件由下述部份组成：</w:t>
      </w:r>
    </w:p>
    <w:p>
      <w:pPr>
        <w:widowControl/>
        <w:spacing w:line="360" w:lineRule="auto"/>
        <w:ind w:firstLine="480" w:firstLineChars="200"/>
        <w:jc w:val="left"/>
        <w:rPr>
          <w:rFonts w:ascii="宋体"/>
          <w:sz w:val="24"/>
        </w:rPr>
      </w:pPr>
      <w:r>
        <w:rPr>
          <w:rFonts w:hint="eastAsia" w:ascii="宋体" w:hAnsi="宋体"/>
          <w:sz w:val="24"/>
        </w:rPr>
        <w:t>第一部分</w:t>
      </w:r>
      <w:r>
        <w:rPr>
          <w:rFonts w:ascii="宋体" w:hAnsi="宋体"/>
          <w:sz w:val="24"/>
        </w:rPr>
        <w:t xml:space="preserve">   </w:t>
      </w:r>
      <w:r>
        <w:rPr>
          <w:rFonts w:hint="eastAsia" w:ascii="宋体" w:hAnsi="宋体"/>
          <w:sz w:val="24"/>
        </w:rPr>
        <w:t>招标公告</w:t>
      </w:r>
    </w:p>
    <w:p>
      <w:pPr>
        <w:widowControl/>
        <w:spacing w:line="360" w:lineRule="auto"/>
        <w:ind w:firstLine="480" w:firstLineChars="200"/>
        <w:jc w:val="left"/>
        <w:rPr>
          <w:rFonts w:ascii="宋体"/>
          <w:sz w:val="24"/>
        </w:rPr>
      </w:pPr>
      <w:r>
        <w:rPr>
          <w:rFonts w:hint="eastAsia" w:ascii="宋体" w:hAnsi="宋体"/>
          <w:sz w:val="24"/>
        </w:rPr>
        <w:t>第二部分</w:t>
      </w:r>
      <w:r>
        <w:rPr>
          <w:rFonts w:ascii="宋体" w:hAnsi="宋体"/>
          <w:sz w:val="24"/>
        </w:rPr>
        <w:t xml:space="preserve">   </w:t>
      </w:r>
      <w:r>
        <w:rPr>
          <w:rFonts w:hint="eastAsia" w:ascii="宋体" w:hAnsi="宋体"/>
          <w:sz w:val="24"/>
        </w:rPr>
        <w:t>采购（服务）项目要求</w:t>
      </w:r>
    </w:p>
    <w:p>
      <w:pPr>
        <w:widowControl/>
        <w:spacing w:line="360" w:lineRule="auto"/>
        <w:ind w:firstLine="480" w:firstLineChars="200"/>
        <w:jc w:val="left"/>
        <w:rPr>
          <w:rFonts w:ascii="宋体"/>
          <w:sz w:val="24"/>
        </w:rPr>
      </w:pPr>
      <w:r>
        <w:rPr>
          <w:rFonts w:hint="eastAsia" w:ascii="宋体" w:hAnsi="宋体"/>
          <w:sz w:val="24"/>
        </w:rPr>
        <w:t>第三部分</w:t>
      </w:r>
      <w:r>
        <w:rPr>
          <w:rFonts w:ascii="宋体" w:hAnsi="宋体"/>
          <w:sz w:val="24"/>
        </w:rPr>
        <w:t xml:space="preserve">   </w:t>
      </w:r>
      <w:r>
        <w:rPr>
          <w:rFonts w:hint="eastAsia" w:ascii="宋体" w:hAnsi="宋体"/>
          <w:sz w:val="24"/>
        </w:rPr>
        <w:t>投标人须知</w:t>
      </w:r>
    </w:p>
    <w:p>
      <w:pPr>
        <w:widowControl/>
        <w:spacing w:line="360" w:lineRule="auto"/>
        <w:ind w:firstLine="480" w:firstLineChars="200"/>
        <w:jc w:val="left"/>
        <w:rPr>
          <w:rFonts w:ascii="宋体"/>
          <w:sz w:val="24"/>
        </w:rPr>
      </w:pPr>
      <w:r>
        <w:rPr>
          <w:rFonts w:hint="eastAsia" w:ascii="宋体" w:hAnsi="宋体"/>
          <w:sz w:val="24"/>
        </w:rPr>
        <w:t>第四部分</w:t>
      </w:r>
      <w:r>
        <w:rPr>
          <w:rFonts w:ascii="宋体" w:hAnsi="宋体"/>
          <w:sz w:val="24"/>
        </w:rPr>
        <w:t xml:space="preserve">   </w:t>
      </w:r>
      <w:r>
        <w:rPr>
          <w:rFonts w:hint="eastAsia" w:ascii="宋体" w:hAnsi="宋体"/>
          <w:sz w:val="24"/>
        </w:rPr>
        <w:t>合同相关要求</w:t>
      </w:r>
    </w:p>
    <w:p>
      <w:pPr>
        <w:widowControl/>
        <w:spacing w:line="360" w:lineRule="auto"/>
        <w:ind w:firstLine="480" w:firstLineChars="200"/>
        <w:jc w:val="left"/>
        <w:rPr>
          <w:rFonts w:ascii="宋体"/>
          <w:sz w:val="24"/>
        </w:rPr>
      </w:pPr>
      <w:r>
        <w:rPr>
          <w:rFonts w:hint="eastAsia" w:ascii="宋体" w:hAnsi="宋体"/>
          <w:sz w:val="24"/>
        </w:rPr>
        <w:t>第五部分</w:t>
      </w:r>
      <w:r>
        <w:rPr>
          <w:rFonts w:ascii="宋体" w:hAnsi="宋体"/>
          <w:sz w:val="24"/>
        </w:rPr>
        <w:t xml:space="preserve">   </w:t>
      </w:r>
      <w:r>
        <w:rPr>
          <w:rFonts w:hint="eastAsia" w:ascii="宋体" w:hAnsi="宋体"/>
          <w:sz w:val="24"/>
        </w:rPr>
        <w:t>投标文件格式</w:t>
      </w:r>
    </w:p>
    <w:p>
      <w:pPr>
        <w:pStyle w:val="3"/>
        <w:rPr>
          <w:rFonts w:ascii="宋体" w:hAnsi="宋体" w:eastAsia="宋体"/>
        </w:rPr>
      </w:pPr>
      <w:r>
        <w:rPr>
          <w:rFonts w:hint="eastAsia" w:ascii="宋体" w:hAnsi="宋体" w:eastAsia="宋体"/>
        </w:rPr>
        <w:t>二、招标采购（服务）文件的澄清和修改</w:t>
      </w:r>
    </w:p>
    <w:p>
      <w:pPr>
        <w:spacing w:line="360" w:lineRule="auto"/>
        <w:ind w:firstLine="480" w:firstLineChars="200"/>
        <w:rPr>
          <w:rFonts w:ascii="宋体"/>
          <w:sz w:val="24"/>
        </w:rPr>
      </w:pPr>
      <w:r>
        <w:rPr>
          <w:rFonts w:ascii="宋体" w:hAnsi="宋体"/>
          <w:sz w:val="24"/>
          <w:lang w:val="en-GB"/>
        </w:rPr>
        <w:t>1</w:t>
      </w:r>
      <w:r>
        <w:rPr>
          <w:rFonts w:hint="eastAsia" w:ascii="宋体" w:hAnsi="宋体"/>
          <w:sz w:val="24"/>
          <w:lang w:val="en-GB"/>
        </w:rPr>
        <w:t>、</w:t>
      </w:r>
      <w:r>
        <w:rPr>
          <w:rFonts w:hint="eastAsia" w:ascii="宋体" w:hAnsi="宋体"/>
          <w:sz w:val="24"/>
        </w:rPr>
        <w:t>投标人在南通市阳光养老产业集团有限公司网站获取招标文件后，如有疑问需要澄清，应于招标文件发布后的</w:t>
      </w:r>
      <w:r>
        <w:rPr>
          <w:rFonts w:hint="eastAsia" w:ascii="宋体" w:hAnsi="宋体"/>
          <w:color w:val="FF0000"/>
          <w:sz w:val="24"/>
          <w:u w:val="single"/>
        </w:rPr>
        <w:t>2</w:t>
      </w:r>
      <w:r>
        <w:rPr>
          <w:rFonts w:hint="eastAsia" w:ascii="宋体" w:hAnsi="宋体"/>
          <w:color w:val="FF0000"/>
          <w:sz w:val="24"/>
        </w:rPr>
        <w:t>日内</w:t>
      </w:r>
      <w:r>
        <w:rPr>
          <w:rFonts w:hint="eastAsia" w:ascii="宋体" w:hAnsi="宋体"/>
          <w:sz w:val="24"/>
        </w:rPr>
        <w:t>以书面形式向南通阳光养老产业集团有限公司提出，招标人予以解答，解答的内容报在南通阳光养老产业集团有限公司网中发布。</w:t>
      </w:r>
    </w:p>
    <w:p>
      <w:pPr>
        <w:widowControl/>
        <w:spacing w:line="360" w:lineRule="auto"/>
        <w:ind w:firstLine="480" w:firstLineChars="200"/>
        <w:jc w:val="left"/>
        <w:rPr>
          <w:rFonts w:ascii="宋体"/>
          <w:sz w:val="24"/>
          <w:lang w:val="en-GB"/>
        </w:rPr>
      </w:pPr>
      <w:r>
        <w:rPr>
          <w:rFonts w:ascii="宋体" w:hAnsi="宋体"/>
          <w:sz w:val="24"/>
          <w:lang w:val="en-GB"/>
        </w:rPr>
        <w:t>2</w:t>
      </w:r>
      <w:r>
        <w:rPr>
          <w:rFonts w:hint="eastAsia" w:ascii="宋体" w:hAnsi="宋体"/>
          <w:sz w:val="24"/>
          <w:lang w:val="en-GB"/>
        </w:rPr>
        <w:t>、投标人应认真审阅招标文件中所有的事项、格式、条款和规范要求等，如果投标人没有按照招标文件要求提交投标文件，或者投标文件没有对招标文件做出实质性响应，其投标将被拒绝，投标人自行承担责任。</w:t>
      </w:r>
    </w:p>
    <w:p>
      <w:pPr>
        <w:widowControl/>
        <w:spacing w:line="360" w:lineRule="auto"/>
        <w:ind w:firstLine="480" w:firstLineChars="200"/>
        <w:jc w:val="left"/>
        <w:rPr>
          <w:rFonts w:ascii="宋体"/>
          <w:sz w:val="24"/>
          <w:lang w:val="en-GB"/>
        </w:rPr>
      </w:pPr>
      <w:r>
        <w:rPr>
          <w:rFonts w:ascii="宋体" w:hAnsi="宋体"/>
          <w:sz w:val="24"/>
          <w:lang w:val="en-GB"/>
        </w:rPr>
        <w:t>3</w:t>
      </w:r>
      <w:r>
        <w:rPr>
          <w:rFonts w:hint="eastAsia" w:ascii="宋体" w:hAnsi="宋体"/>
          <w:sz w:val="24"/>
          <w:lang w:val="en-GB"/>
        </w:rPr>
        <w:t>、招标人有权对发出的招标文件进行必要的澄清或修改。招标人对招标文件的澄清、修改将构成招标文件的一部分，对投标人具有约束力。</w:t>
      </w:r>
    </w:p>
    <w:p>
      <w:pPr>
        <w:widowControl/>
        <w:spacing w:line="360" w:lineRule="auto"/>
        <w:ind w:firstLine="480" w:firstLineChars="200"/>
        <w:jc w:val="left"/>
        <w:rPr>
          <w:rFonts w:ascii="宋体"/>
          <w:sz w:val="24"/>
          <w:lang w:val="en-GB"/>
        </w:rPr>
      </w:pPr>
      <w:r>
        <w:rPr>
          <w:rFonts w:ascii="宋体" w:hAnsi="宋体"/>
          <w:sz w:val="24"/>
          <w:lang w:val="en-GB"/>
        </w:rPr>
        <w:t>4</w:t>
      </w:r>
      <w:r>
        <w:rPr>
          <w:rFonts w:hint="eastAsia" w:ascii="宋体" w:hAnsi="宋体"/>
          <w:sz w:val="24"/>
          <w:lang w:val="en-GB"/>
        </w:rPr>
        <w:t>、招标人可视情取消、延长投标截止时间和开标时间，不负责解释。</w:t>
      </w:r>
    </w:p>
    <w:p>
      <w:pPr>
        <w:widowControl/>
        <w:spacing w:line="360" w:lineRule="auto"/>
        <w:ind w:firstLine="480" w:firstLineChars="200"/>
        <w:jc w:val="left"/>
        <w:rPr>
          <w:rFonts w:ascii="宋体" w:hAnsi="宋体"/>
          <w:sz w:val="24"/>
          <w:lang w:val="en-GB"/>
        </w:rPr>
      </w:pPr>
      <w:r>
        <w:rPr>
          <w:rFonts w:ascii="宋体" w:hAnsi="宋体"/>
          <w:sz w:val="24"/>
          <w:lang w:val="en-GB"/>
        </w:rPr>
        <w:t>5</w:t>
      </w:r>
      <w:r>
        <w:rPr>
          <w:rFonts w:hint="eastAsia" w:ascii="宋体" w:hAnsi="宋体"/>
          <w:sz w:val="24"/>
          <w:lang w:val="en-GB"/>
        </w:rPr>
        <w:t>、投标人由于对招标文件的任何推论和误解以及招标人对有关问题的口头解释所造成的后果，均由投标人自负。</w:t>
      </w:r>
    </w:p>
    <w:p>
      <w:pPr>
        <w:snapToGrid w:val="0"/>
        <w:spacing w:line="480" w:lineRule="exact"/>
        <w:ind w:firstLine="480" w:firstLineChars="200"/>
        <w:rPr>
          <w:rFonts w:ascii="宋体"/>
          <w:color w:val="000000"/>
          <w:sz w:val="24"/>
        </w:rPr>
      </w:pPr>
      <w:r>
        <w:rPr>
          <w:rFonts w:hint="eastAsia" w:ascii="宋体" w:hAnsi="宋体"/>
          <w:sz w:val="24"/>
          <w:lang w:val="en-GB"/>
        </w:rPr>
        <w:t>6、</w:t>
      </w:r>
      <w:r>
        <w:rPr>
          <w:rFonts w:hint="eastAsia" w:ascii="宋体" w:hAnsi="宋体" w:cs="宋体"/>
          <w:color w:val="000000"/>
          <w:sz w:val="24"/>
        </w:rPr>
        <w:t>所有响应文件均需加盖公章，不得涂改，密封完好，</w:t>
      </w:r>
      <w:r>
        <w:rPr>
          <w:rFonts w:hint="eastAsia" w:ascii="宋体" w:hAnsi="宋体" w:cs="宋体"/>
          <w:sz w:val="24"/>
        </w:rPr>
        <w:t>在密封的响应文件上明确标注磋商项目名称、响应文件各自对应的名称、投标人的全称及日期并加盖公章。</w:t>
      </w:r>
      <w:r>
        <w:rPr>
          <w:rFonts w:hint="eastAsia" w:ascii="宋体" w:hAnsi="宋体" w:cs="宋体"/>
          <w:color w:val="000000"/>
          <w:sz w:val="24"/>
        </w:rPr>
        <w:t>否则视为废标。</w:t>
      </w:r>
    </w:p>
    <w:p>
      <w:pPr>
        <w:snapToGrid w:val="0"/>
        <w:spacing w:line="480" w:lineRule="exact"/>
        <w:ind w:firstLine="480" w:firstLineChars="200"/>
        <w:rPr>
          <w:rFonts w:ascii="宋体" w:cs="宋体"/>
          <w:sz w:val="24"/>
        </w:rPr>
      </w:pPr>
      <w:r>
        <w:rPr>
          <w:rFonts w:hint="eastAsia" w:ascii="宋体" w:hAnsi="宋体" w:cs="宋体"/>
          <w:sz w:val="24"/>
        </w:rPr>
        <w:t>7、本项目不接受任何有选择的报价。磋商报价均以人民币为报价的币种。</w:t>
      </w:r>
    </w:p>
    <w:p>
      <w:pPr>
        <w:snapToGrid w:val="0"/>
        <w:spacing w:line="480" w:lineRule="exact"/>
        <w:ind w:firstLine="460" w:firstLineChars="192"/>
        <w:rPr>
          <w:rFonts w:ascii="宋体"/>
          <w:color w:val="000000"/>
          <w:sz w:val="24"/>
        </w:rPr>
      </w:pPr>
      <w:r>
        <w:rPr>
          <w:rFonts w:hint="eastAsia" w:ascii="宋体"/>
          <w:sz w:val="24"/>
        </w:rPr>
        <w:t>8、</w:t>
      </w:r>
      <w:r>
        <w:rPr>
          <w:rFonts w:hint="eastAsia" w:ascii="宋体" w:hAnsi="宋体" w:cs="宋体"/>
          <w:sz w:val="24"/>
        </w:rPr>
        <w:t>磋商程序顺利进行后，所有的响应文件都将作为档案保存，不</w:t>
      </w:r>
      <w:r>
        <w:rPr>
          <w:rFonts w:hint="eastAsia" w:ascii="宋体" w:hAnsi="宋体" w:cs="宋体"/>
          <w:color w:val="000000"/>
          <w:sz w:val="24"/>
        </w:rPr>
        <w:t>论成交与否，均不退回。</w:t>
      </w:r>
    </w:p>
    <w:p>
      <w:pPr>
        <w:pStyle w:val="3"/>
        <w:rPr>
          <w:rFonts w:ascii="宋体" w:hAnsi="宋体" w:eastAsia="宋体"/>
        </w:rPr>
      </w:pPr>
      <w:r>
        <w:rPr>
          <w:rFonts w:ascii="宋体" w:hAnsi="宋体" w:eastAsia="宋体"/>
        </w:rPr>
        <w:t xml:space="preserve">  </w:t>
      </w:r>
      <w:r>
        <w:rPr>
          <w:rFonts w:hint="eastAsia" w:ascii="宋体" w:hAnsi="宋体" w:eastAsia="宋体"/>
        </w:rPr>
        <w:t>三、评标办法和程序</w:t>
      </w:r>
    </w:p>
    <w:p>
      <w:pPr>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、本次竞争性磋商依据《中华人民共和国政府采购法》、《招投标法》及有关法规成立招标小组，遵循“公开、公平、公正、择优、信用”的原则进行招标评审。招标小组由业主方代表共5人组成。</w:t>
      </w:r>
    </w:p>
    <w:p>
      <w:pPr>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、招标小组的职责：</w:t>
      </w:r>
    </w:p>
    <w:p>
      <w:pPr>
        <w:snapToGrid w:val="0"/>
        <w:spacing w:line="480" w:lineRule="exact"/>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）招标小组成员应当按照客观、公正、审慎的原则，根据招标文件规定的评审程序、评审方法和评审标准进行独立评审。</w:t>
      </w:r>
    </w:p>
    <w:p>
      <w:pPr>
        <w:snapToGrid w:val="0"/>
        <w:spacing w:line="480" w:lineRule="exact"/>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）招标小组成员应当遵守评审工作纪律，不得泄露评审情况和评审中获悉的商业秘密，对个人的评审意见承担法律责任；</w:t>
      </w:r>
    </w:p>
    <w:p>
      <w:pPr>
        <w:snapToGrid w:val="0"/>
        <w:spacing w:line="480" w:lineRule="exact"/>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）招标小组成员在评审过程中发现供应商有行贿、提供虚假材料或者串通等违法行为的，应当及时向纪律部门报告。</w:t>
      </w:r>
    </w:p>
    <w:p>
      <w:pPr>
        <w:snapToGrid w:val="0"/>
        <w:spacing w:line="480" w:lineRule="exact"/>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）招标小组成员在评审过程中受到非法干涉的，应当及时向财审、监察等部门举报。</w:t>
      </w:r>
    </w:p>
    <w:p>
      <w:pPr>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、评审有关记录由招标小组成员签名，存档备查。</w:t>
      </w:r>
    </w:p>
    <w:p>
      <w:pPr>
        <w:snapToGrid w:val="0"/>
        <w:spacing w:line="480" w:lineRule="exact"/>
        <w:ind w:firstLine="484" w:firstLineChars="202"/>
        <w:rPr>
          <w:rFonts w:ascii="宋体"/>
          <w:sz w:val="24"/>
        </w:rPr>
      </w:pPr>
      <w:r>
        <w:rPr>
          <w:rFonts w:hint="eastAsia" w:ascii="宋体" w:hAnsi="宋体" w:cs="宋体"/>
          <w:sz w:val="24"/>
        </w:rPr>
        <w:t>4、招标小组根据招标文件规定的程序、评定成交的标准等事项与实质性响应招标文件要求的供应商进行磋商。未实质性响应招标文件要求的响应文件按无效处理，招标小组应当告知提交响应文件的投标人。</w:t>
      </w:r>
    </w:p>
    <w:p>
      <w:pPr>
        <w:snapToGrid w:val="0"/>
        <w:spacing w:line="480" w:lineRule="exact"/>
        <w:ind w:firstLine="480" w:firstLineChars="200"/>
        <w:rPr>
          <w:rFonts w:ascii="宋体"/>
          <w:sz w:val="24"/>
        </w:rPr>
      </w:pPr>
      <w:r>
        <w:rPr>
          <w:rFonts w:hint="eastAsia" w:ascii="宋体" w:hAnsi="宋体" w:cs="宋体"/>
          <w:sz w:val="24"/>
        </w:rPr>
        <w:t>5、招标小组所有成员应当集中与单一供应商分别进行招标，并给予所有参加招标的供应商平等的机会。</w:t>
      </w:r>
    </w:p>
    <w:p>
      <w:pPr>
        <w:snapToGrid w:val="0"/>
        <w:spacing w:line="480" w:lineRule="exact"/>
        <w:ind w:firstLine="480" w:firstLineChars="200"/>
        <w:rPr>
          <w:rFonts w:ascii="宋体"/>
          <w:sz w:val="24"/>
        </w:rPr>
      </w:pPr>
      <w:r>
        <w:rPr>
          <w:rFonts w:hint="eastAsia" w:ascii="宋体" w:hAnsi="宋体" w:cs="宋体"/>
          <w:sz w:val="24"/>
        </w:rPr>
        <w:t>6、对招标文件作出的实质性变动是招标文件的有效组成部分，招标小组应当及时以书面形式同时通知所有参加招标的投标人。</w:t>
      </w:r>
    </w:p>
    <w:p>
      <w:pPr>
        <w:snapToGrid w:val="0"/>
        <w:spacing w:line="480" w:lineRule="exact"/>
        <w:ind w:firstLine="480" w:firstLineChars="200"/>
        <w:rPr>
          <w:rFonts w:ascii="宋体"/>
          <w:b/>
          <w:sz w:val="24"/>
        </w:rPr>
      </w:pPr>
      <w:r>
        <w:rPr>
          <w:rFonts w:hint="eastAsia" w:ascii="宋体" w:hAnsi="宋体" w:cs="宋体"/>
          <w:sz w:val="24"/>
        </w:rPr>
        <w:t>7、开标过程中，资格审查符合要求的投标人不得少于三家，否则作流标处理，重新挂网组织招标，第二次挂网时间截止及开标日为2020年2月11日下午2时，地点不变。投标人仍少于3家的，于2020年2月11日下午2时现场改用议标方式确定最终中标人。</w:t>
      </w:r>
    </w:p>
    <w:p>
      <w:pPr>
        <w:snapToGrid w:val="0"/>
        <w:spacing w:line="480" w:lineRule="exact"/>
        <w:ind w:firstLine="480" w:firstLineChars="200"/>
        <w:rPr>
          <w:rFonts w:ascii="宋体"/>
          <w:sz w:val="24"/>
        </w:rPr>
      </w:pPr>
      <w:r>
        <w:rPr>
          <w:rFonts w:hint="eastAsia" w:ascii="宋体" w:hAnsi="宋体" w:cs="宋体"/>
          <w:sz w:val="24"/>
        </w:rPr>
        <w:t>8、对于在招标顺利开始后至最终报价前，根据招标情况退出招标的投标人，须以书面形式说明退出招标的原因，经招标小组同意可以退出招标。</w:t>
      </w:r>
    </w:p>
    <w:p>
      <w:pPr>
        <w:snapToGrid w:val="0"/>
        <w:spacing w:line="480" w:lineRule="exact"/>
        <w:ind w:firstLine="480" w:firstLineChars="200"/>
        <w:rPr>
          <w:rFonts w:ascii="宋体"/>
          <w:sz w:val="24"/>
        </w:rPr>
      </w:pPr>
      <w:r>
        <w:rPr>
          <w:rFonts w:hint="eastAsia" w:ascii="宋体" w:hAnsi="宋体" w:cs="宋体"/>
          <w:sz w:val="24"/>
        </w:rPr>
        <w:t>9、在招标中，招标的任何一方不得透露与磋商有关的其他响应招标的投标人的技术资料、价格及其他信息。</w:t>
      </w:r>
    </w:p>
    <w:p>
      <w:pPr>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0、在招标评审过程中，招标小组发现投标人的报价明显低于其他投标人的报价，使得其报价可能低于其个别成本的，磋商小组有权要求该投标人作出书面说明并提供相关证明材料，投标人不能合理说明或者不能提供相关证明材料的，由招标小组认定该投标人以低于成本报价投标。对被认定为低于成本报价投标的报价做无效报价，按无效标处理。</w:t>
      </w:r>
    </w:p>
    <w:p>
      <w:pPr>
        <w:snapToGrid w:val="0"/>
        <w:spacing w:line="480" w:lineRule="exact"/>
        <w:ind w:firstLine="480" w:firstLineChars="200"/>
        <w:outlineLvl w:val="1"/>
        <w:rPr>
          <w:rFonts w:ascii="宋体" w:hAnsi="宋体" w:cs="宋体"/>
          <w:bCs/>
          <w:sz w:val="24"/>
        </w:rPr>
      </w:pPr>
      <w:r>
        <w:rPr>
          <w:rFonts w:hint="eastAsia" w:ascii="宋体" w:hAnsi="宋体" w:cs="宋体"/>
          <w:bCs/>
          <w:sz w:val="24"/>
        </w:rPr>
        <w:t>11、</w:t>
      </w:r>
      <w:r>
        <w:rPr>
          <w:rFonts w:hint="eastAsia" w:ascii="宋体" w:hAnsi="宋体" w:cs="宋体"/>
          <w:sz w:val="24"/>
        </w:rPr>
        <w:t>招标</w:t>
      </w:r>
      <w:r>
        <w:rPr>
          <w:rFonts w:hint="eastAsia" w:ascii="宋体" w:hAnsi="宋体" w:cs="宋体"/>
          <w:bCs/>
          <w:sz w:val="24"/>
        </w:rPr>
        <w:t>评定结果的方法：综合评分评审标准</w:t>
      </w:r>
    </w:p>
    <w:p>
      <w:pPr>
        <w:spacing w:line="480" w:lineRule="exact"/>
        <w:ind w:firstLine="480" w:firstLineChars="200"/>
        <w:rPr>
          <w:rFonts w:ascii="宋体"/>
          <w:sz w:val="24"/>
        </w:rPr>
      </w:pPr>
      <w:r>
        <w:rPr>
          <w:rFonts w:hint="eastAsia" w:ascii="宋体" w:hAnsi="宋体" w:cs="宋体"/>
          <w:sz w:val="24"/>
        </w:rPr>
        <w:t>（1）评审时，</w:t>
      </w:r>
      <w:bookmarkStart w:id="7" w:name="OLE_LINK6"/>
      <w:r>
        <w:rPr>
          <w:rFonts w:hint="eastAsia" w:ascii="宋体" w:hAnsi="宋体" w:cs="宋体"/>
          <w:sz w:val="24"/>
        </w:rPr>
        <w:t>招标小组</w:t>
      </w:r>
      <w:bookmarkEnd w:id="7"/>
      <w:r>
        <w:rPr>
          <w:rFonts w:hint="eastAsia" w:ascii="宋体" w:hAnsi="宋体" w:cs="宋体"/>
          <w:sz w:val="24"/>
        </w:rPr>
        <w:t>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ascii="宋体"/>
          <w:sz w:val="24"/>
        </w:rPr>
      </w:pPr>
      <w:r>
        <w:rPr>
          <w:rFonts w:hint="eastAsia" w:ascii="宋体" w:hAnsi="宋体" w:cs="宋体"/>
          <w:sz w:val="24"/>
        </w:rPr>
        <w:t>（2）本次项目招标的技术和商务报价评审总分值为</w:t>
      </w:r>
      <w:r>
        <w:rPr>
          <w:rFonts w:ascii="宋体" w:hAnsi="宋体" w:cs="宋体"/>
          <w:sz w:val="24"/>
        </w:rPr>
        <w:t>100</w:t>
      </w:r>
      <w:r>
        <w:rPr>
          <w:rFonts w:hint="eastAsia" w:ascii="宋体" w:hAnsi="宋体" w:cs="宋体"/>
          <w:sz w:val="24"/>
        </w:rPr>
        <w:t>分。两部分评审因素比重如下：</w:t>
      </w:r>
    </w:p>
    <w:p>
      <w:pPr>
        <w:snapToGrid w:val="0"/>
        <w:spacing w:line="480" w:lineRule="exact"/>
        <w:ind w:firstLine="480" w:firstLineChars="200"/>
        <w:rPr>
          <w:rFonts w:ascii="宋体"/>
          <w:sz w:val="24"/>
        </w:rPr>
      </w:pPr>
      <w:r>
        <w:rPr>
          <w:rFonts w:hint="eastAsia" w:ascii="宋体" w:hAnsi="宋体" w:cs="宋体"/>
          <w:sz w:val="24"/>
        </w:rPr>
        <w:t>技术分值占总分值的比重为</w:t>
      </w:r>
      <w:r>
        <w:rPr>
          <w:rFonts w:hint="eastAsia" w:ascii="宋体" w:hAnsi="宋体" w:cs="宋体"/>
          <w:b/>
          <w:bCs/>
          <w:sz w:val="24"/>
          <w:u w:val="single"/>
        </w:rPr>
        <w:t>4</w:t>
      </w:r>
      <w:r>
        <w:rPr>
          <w:rFonts w:ascii="宋体" w:hAnsi="宋体" w:cs="宋体"/>
          <w:b/>
          <w:bCs/>
          <w:sz w:val="24"/>
          <w:u w:val="single"/>
        </w:rPr>
        <w:t>0%</w:t>
      </w:r>
      <w:r>
        <w:rPr>
          <w:rFonts w:hint="eastAsia" w:ascii="宋体" w:hAnsi="宋体" w:cs="宋体"/>
          <w:b/>
          <w:bCs/>
          <w:sz w:val="24"/>
          <w:u w:val="single"/>
        </w:rPr>
        <w:t>（权重）</w:t>
      </w:r>
      <w:r>
        <w:rPr>
          <w:rFonts w:hint="eastAsia" w:ascii="宋体" w:hAnsi="宋体" w:cs="宋体"/>
          <w:sz w:val="24"/>
        </w:rPr>
        <w:t>（四舍五入保留两位 小数）；</w:t>
      </w:r>
    </w:p>
    <w:p>
      <w:pPr>
        <w:snapToGrid w:val="0"/>
        <w:spacing w:line="480" w:lineRule="exact"/>
        <w:ind w:firstLine="480" w:firstLineChars="200"/>
        <w:rPr>
          <w:rFonts w:ascii="宋体"/>
          <w:sz w:val="24"/>
        </w:rPr>
      </w:pPr>
      <w:r>
        <w:rPr>
          <w:rFonts w:hint="eastAsia" w:ascii="宋体" w:hAnsi="宋体" w:cs="宋体"/>
          <w:sz w:val="24"/>
        </w:rPr>
        <w:t>商务报价分值占总分值的比重为</w:t>
      </w:r>
      <w:r>
        <w:rPr>
          <w:rFonts w:ascii="宋体" w:hAnsi="宋体" w:cs="宋体"/>
          <w:b/>
          <w:bCs/>
          <w:sz w:val="24"/>
          <w:u w:val="single"/>
        </w:rPr>
        <w:t xml:space="preserve"> </w:t>
      </w:r>
      <w:r>
        <w:rPr>
          <w:rFonts w:hint="eastAsia" w:ascii="宋体" w:hAnsi="宋体" w:cs="宋体"/>
          <w:b/>
          <w:bCs/>
          <w:sz w:val="24"/>
          <w:u w:val="single"/>
        </w:rPr>
        <w:t>6</w:t>
      </w:r>
      <w:r>
        <w:rPr>
          <w:rFonts w:ascii="宋体" w:hAnsi="宋体" w:cs="宋体"/>
          <w:b/>
          <w:bCs/>
          <w:sz w:val="24"/>
          <w:u w:val="single"/>
        </w:rPr>
        <w:t>0%</w:t>
      </w:r>
      <w:r>
        <w:rPr>
          <w:rFonts w:hint="eastAsia" w:ascii="宋体" w:hAnsi="宋体" w:cs="宋体"/>
          <w:b/>
          <w:bCs/>
          <w:sz w:val="24"/>
          <w:u w:val="single"/>
        </w:rPr>
        <w:t>（权重）</w:t>
      </w:r>
      <w:r>
        <w:rPr>
          <w:rFonts w:hint="eastAsia" w:ascii="宋体" w:hAnsi="宋体" w:cs="宋体"/>
          <w:sz w:val="24"/>
        </w:rPr>
        <w:t>（四舍五入保留两位小数）。</w:t>
      </w:r>
    </w:p>
    <w:p>
      <w:pPr>
        <w:snapToGrid w:val="0"/>
        <w:spacing w:line="480" w:lineRule="exact"/>
        <w:ind w:firstLine="480" w:firstLineChars="200"/>
        <w:rPr>
          <w:rFonts w:ascii="宋体"/>
          <w:sz w:val="24"/>
        </w:rPr>
      </w:pPr>
      <w:r>
        <w:rPr>
          <w:rFonts w:hint="eastAsia" w:ascii="宋体" w:hAnsi="宋体" w:cs="宋体"/>
          <w:sz w:val="24"/>
        </w:rPr>
        <w:t>（3）技术分按算术平均值计算，分值四舍五入保留两位小数。</w:t>
      </w:r>
    </w:p>
    <w:p>
      <w:pPr>
        <w:snapToGrid w:val="0"/>
        <w:spacing w:line="480" w:lineRule="exact"/>
        <w:ind w:firstLine="480" w:firstLineChars="200"/>
        <w:rPr>
          <w:rFonts w:ascii="宋体"/>
          <w:sz w:val="24"/>
        </w:rPr>
      </w:pPr>
      <w:r>
        <w:rPr>
          <w:rFonts w:hint="eastAsia" w:ascii="宋体" w:hAnsi="宋体" w:cs="宋体"/>
          <w:sz w:val="24"/>
        </w:rPr>
        <w:t>（4）商务报价按平均价次低价为满分，上下浮动予以扣分。与技术分相加为供应商的综合得分。</w:t>
      </w:r>
    </w:p>
    <w:p>
      <w:pPr>
        <w:snapToGrid w:val="0"/>
        <w:spacing w:line="480" w:lineRule="exact"/>
        <w:ind w:firstLine="480" w:firstLineChars="200"/>
        <w:rPr>
          <w:rFonts w:ascii="宋体"/>
          <w:sz w:val="24"/>
        </w:rPr>
      </w:pPr>
      <w:r>
        <w:rPr>
          <w:rFonts w:hint="eastAsia" w:ascii="宋体" w:hAnsi="宋体" w:cs="宋体"/>
          <w:sz w:val="24"/>
        </w:rPr>
        <w:t>（5）综合得分最高的投标人推荐为项目预成交人并出具评审招标报告。</w:t>
      </w:r>
    </w:p>
    <w:p>
      <w:pPr>
        <w:snapToGrid w:val="0"/>
        <w:spacing w:line="480" w:lineRule="exact"/>
        <w:ind w:firstLine="480" w:firstLineChars="200"/>
        <w:rPr>
          <w:rFonts w:ascii="宋体"/>
          <w:sz w:val="24"/>
        </w:rPr>
      </w:pPr>
      <w:r>
        <w:rPr>
          <w:rFonts w:hint="eastAsia" w:ascii="宋体" w:hAnsi="宋体" w:cs="宋体"/>
          <w:sz w:val="24"/>
        </w:rPr>
        <w:t>（6）招标评审时，评委对评审的细则若有争议，由招标小组集体讨论确定，并对未尽情况有最终解释权。</w:t>
      </w:r>
    </w:p>
    <w:p>
      <w:pPr>
        <w:snapToGrid w:val="0"/>
        <w:spacing w:line="480" w:lineRule="exact"/>
        <w:ind w:firstLine="480" w:firstLineChars="200"/>
        <w:rPr>
          <w:rFonts w:ascii="宋体"/>
          <w:sz w:val="24"/>
        </w:rPr>
      </w:pPr>
      <w:r>
        <w:rPr>
          <w:rFonts w:hint="eastAsia" w:ascii="宋体" w:hAnsi="宋体" w:cs="宋体"/>
          <w:sz w:val="24"/>
        </w:rPr>
        <w:t>（7）对落标的供应商不做落标原因的解释。</w:t>
      </w:r>
    </w:p>
    <w:p>
      <w:pPr>
        <w:pStyle w:val="4"/>
      </w:pPr>
    </w:p>
    <w:p>
      <w:pPr>
        <w:pStyle w:val="5"/>
        <w:rPr>
          <w:rFonts w:ascii="宋体" w:hAnsi="宋体" w:eastAsia="宋体"/>
          <w:b w:val="0"/>
          <w:sz w:val="22"/>
          <w:szCs w:val="28"/>
          <w:shd w:val="clear" w:color="auto" w:fill="FFFFFF"/>
        </w:rPr>
      </w:pPr>
      <w:r>
        <w:rPr>
          <w:rFonts w:ascii="宋体" w:hAnsi="宋体" w:eastAsia="宋体"/>
          <w:sz w:val="28"/>
        </w:rPr>
        <w:t xml:space="preserve"> </w:t>
      </w:r>
    </w:p>
    <w:p>
      <w:pPr>
        <w:snapToGrid w:val="0"/>
        <w:spacing w:line="420" w:lineRule="exact"/>
        <w:ind w:firstLine="484" w:firstLineChars="202"/>
        <w:outlineLvl w:val="3"/>
        <w:rPr>
          <w:rFonts w:ascii="黑体" w:hAnsi="黑体" w:eastAsia="黑体"/>
          <w:color w:val="FF0000"/>
          <w:sz w:val="24"/>
        </w:rPr>
      </w:pPr>
      <w:r>
        <w:rPr>
          <w:rFonts w:hint="eastAsia" w:ascii="黑体" w:hAnsi="黑体" w:eastAsia="黑体"/>
          <w:color w:val="FF0000"/>
          <w:sz w:val="24"/>
        </w:rPr>
        <w:t>第一条 技术标评审：（40分）</w:t>
      </w:r>
    </w:p>
    <w:tbl>
      <w:tblPr>
        <w:tblStyle w:val="16"/>
        <w:tblW w:w="9800" w:type="dxa"/>
        <w:tblInd w:w="118" w:type="dxa"/>
        <w:tblLayout w:type="fixed"/>
        <w:tblCellMar>
          <w:top w:w="0" w:type="dxa"/>
          <w:left w:w="108" w:type="dxa"/>
          <w:bottom w:w="0" w:type="dxa"/>
          <w:right w:w="108" w:type="dxa"/>
        </w:tblCellMar>
      </w:tblPr>
      <w:tblGrid>
        <w:gridCol w:w="531"/>
        <w:gridCol w:w="1038"/>
        <w:gridCol w:w="456"/>
        <w:gridCol w:w="7775"/>
      </w:tblGrid>
      <w:tr>
        <w:tblPrEx>
          <w:tblLayout w:type="fixed"/>
          <w:tblCellMar>
            <w:top w:w="0" w:type="dxa"/>
            <w:left w:w="108" w:type="dxa"/>
            <w:bottom w:w="0" w:type="dxa"/>
            <w:right w:w="108" w:type="dxa"/>
          </w:tblCellMar>
        </w:tblPrEx>
        <w:trPr>
          <w:trHeight w:val="1137" w:hRule="atLeast"/>
        </w:trPr>
        <w:tc>
          <w:tcPr>
            <w:tcW w:w="5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1</w:t>
            </w:r>
          </w:p>
        </w:tc>
        <w:tc>
          <w:tcPr>
            <w:tcW w:w="1038"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维保方案</w:t>
            </w:r>
          </w:p>
        </w:tc>
        <w:tc>
          <w:tcPr>
            <w:tcW w:w="456"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5</w:t>
            </w:r>
          </w:p>
        </w:tc>
        <w:tc>
          <w:tcPr>
            <w:tcW w:w="7775"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1.维保方案是否满足招标人单位实际情况，是否规范、可以满足安全性、适用性，引用国家、行业和地方施工规范是否正确；（满分5分）</w:t>
            </w:r>
          </w:p>
        </w:tc>
      </w:tr>
      <w:tr>
        <w:tblPrEx>
          <w:tblLayout w:type="fixed"/>
          <w:tblCellMar>
            <w:top w:w="0" w:type="dxa"/>
            <w:left w:w="108" w:type="dxa"/>
            <w:bottom w:w="0" w:type="dxa"/>
            <w:right w:w="108" w:type="dxa"/>
          </w:tblCellMar>
        </w:tblPrEx>
        <w:trPr>
          <w:trHeight w:val="1194" w:hRule="atLeast"/>
        </w:trPr>
        <w:tc>
          <w:tcPr>
            <w:tcW w:w="53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2</w:t>
            </w:r>
          </w:p>
        </w:tc>
        <w:tc>
          <w:tcPr>
            <w:tcW w:w="103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人员配置</w:t>
            </w:r>
          </w:p>
        </w:tc>
        <w:tc>
          <w:tcPr>
            <w:tcW w:w="45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5</w:t>
            </w:r>
          </w:p>
        </w:tc>
        <w:tc>
          <w:tcPr>
            <w:tcW w:w="77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1.维保单位提供不少于10位电梯专业技术人员电梯安装维保上岗证和社保证明,满足得5分,提供10-7位得3分, 提供7-4位得1分,低于4位得0分。（提供有效证明材料：岗位操作证书及社保机构出具并盖章的投标单位为其缴纳的2019年7月至2020年1月连续的养老保险缴费记录复印件，原件备查）。</w:t>
            </w:r>
          </w:p>
        </w:tc>
      </w:tr>
      <w:tr>
        <w:tblPrEx>
          <w:tblLayout w:type="fixed"/>
          <w:tblCellMar>
            <w:top w:w="0" w:type="dxa"/>
            <w:left w:w="108" w:type="dxa"/>
            <w:bottom w:w="0" w:type="dxa"/>
            <w:right w:w="108" w:type="dxa"/>
          </w:tblCellMar>
        </w:tblPrEx>
        <w:trPr>
          <w:trHeight w:val="818" w:hRule="atLeast"/>
        </w:trPr>
        <w:tc>
          <w:tcPr>
            <w:tcW w:w="53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3</w:t>
            </w:r>
          </w:p>
        </w:tc>
        <w:tc>
          <w:tcPr>
            <w:tcW w:w="1038" w:type="dxa"/>
            <w:tcBorders>
              <w:top w:val="nil"/>
              <w:left w:val="nil"/>
              <w:bottom w:val="single" w:color="auto" w:sz="8" w:space="0"/>
              <w:right w:val="single" w:color="auto" w:sz="8" w:space="0"/>
            </w:tcBorders>
            <w:shd w:val="clear" w:color="auto" w:fill="auto"/>
            <w:vAlign w:val="center"/>
          </w:tcPr>
          <w:p>
            <w:pPr>
              <w:spacing w:line="240" w:lineRule="exact"/>
              <w:rPr>
                <w:rFonts w:ascii="宋体" w:hAnsi="宋体"/>
                <w:szCs w:val="21"/>
              </w:rPr>
            </w:pPr>
            <w:r>
              <w:rPr>
                <w:rFonts w:hint="eastAsia" w:ascii="宋体" w:hAnsi="宋体"/>
                <w:szCs w:val="21"/>
              </w:rPr>
              <w:t>技术保障</w:t>
            </w:r>
          </w:p>
        </w:tc>
        <w:tc>
          <w:tcPr>
            <w:tcW w:w="456" w:type="dxa"/>
            <w:tcBorders>
              <w:top w:val="nil"/>
              <w:left w:val="nil"/>
              <w:bottom w:val="single" w:color="auto" w:sz="8" w:space="0"/>
              <w:right w:val="single" w:color="auto" w:sz="8" w:space="0"/>
            </w:tcBorders>
            <w:shd w:val="clear" w:color="auto" w:fill="auto"/>
            <w:vAlign w:val="center"/>
          </w:tcPr>
          <w:p>
            <w:pPr>
              <w:spacing w:line="240" w:lineRule="exact"/>
              <w:jc w:val="center"/>
              <w:rPr>
                <w:rFonts w:ascii="宋体" w:hAnsi="宋体"/>
                <w:szCs w:val="21"/>
              </w:rPr>
            </w:pPr>
            <w:r>
              <w:rPr>
                <w:rFonts w:hint="eastAsia" w:ascii="宋体" w:hAnsi="宋体"/>
                <w:szCs w:val="21"/>
              </w:rPr>
              <w:t>13</w:t>
            </w:r>
          </w:p>
        </w:tc>
        <w:tc>
          <w:tcPr>
            <w:tcW w:w="7775" w:type="dxa"/>
            <w:tcBorders>
              <w:top w:val="nil"/>
              <w:left w:val="nil"/>
              <w:bottom w:val="single" w:color="auto" w:sz="8" w:space="0"/>
              <w:right w:val="single" w:color="auto" w:sz="8" w:space="0"/>
            </w:tcBorders>
            <w:shd w:val="clear" w:color="auto" w:fill="auto"/>
            <w:vAlign w:val="center"/>
          </w:tcPr>
          <w:p>
            <w:pPr>
              <w:spacing w:line="360" w:lineRule="auto"/>
              <w:rPr>
                <w:rFonts w:ascii="宋体" w:hAnsi="宋体" w:cs="宋体"/>
                <w:szCs w:val="21"/>
              </w:rPr>
            </w:pPr>
            <w:r>
              <w:rPr>
                <w:rFonts w:hint="eastAsia" w:ascii="宋体" w:hAnsi="宋体" w:cs="宋体"/>
                <w:szCs w:val="21"/>
              </w:rPr>
              <w:t>1．获得江苏南通区域内维保星级评定三星级以上（含三星）得5分，二星级以上（含二星）得2分。【本项最多5分】</w:t>
            </w:r>
          </w:p>
          <w:p>
            <w:pPr>
              <w:spacing w:line="360" w:lineRule="auto"/>
              <w:rPr>
                <w:rFonts w:ascii="宋体" w:hAnsi="宋体" w:cs="宋体"/>
                <w:szCs w:val="21"/>
              </w:rPr>
            </w:pPr>
            <w:r>
              <w:rPr>
                <w:rFonts w:hint="eastAsia" w:ascii="宋体" w:hAnsi="宋体" w:cs="宋体"/>
                <w:szCs w:val="21"/>
              </w:rPr>
              <w:t>2.</w:t>
            </w:r>
            <w:r>
              <w:rPr>
                <w:rFonts w:hint="eastAsia" w:hAnsi="宋体"/>
                <w:kern w:val="0"/>
                <w:sz w:val="24"/>
                <w:lang w:bidi="he-IL"/>
              </w:rPr>
              <w:t>固定维保人员中取得由中华人民共和国人力资源和社会保障部颁发的职业资格证书的，每一人2分，本小项最高得8分。提供证书复印件。</w:t>
            </w:r>
          </w:p>
        </w:tc>
      </w:tr>
      <w:tr>
        <w:tblPrEx>
          <w:tblLayout w:type="fixed"/>
          <w:tblCellMar>
            <w:top w:w="0" w:type="dxa"/>
            <w:left w:w="108" w:type="dxa"/>
            <w:bottom w:w="0" w:type="dxa"/>
            <w:right w:w="108" w:type="dxa"/>
          </w:tblCellMar>
        </w:tblPrEx>
        <w:trPr>
          <w:trHeight w:val="818" w:hRule="atLeast"/>
        </w:trPr>
        <w:tc>
          <w:tcPr>
            <w:tcW w:w="53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4</w:t>
            </w:r>
          </w:p>
        </w:tc>
        <w:tc>
          <w:tcPr>
            <w:tcW w:w="103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服务措施</w:t>
            </w:r>
          </w:p>
        </w:tc>
        <w:tc>
          <w:tcPr>
            <w:tcW w:w="45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5</w:t>
            </w:r>
          </w:p>
        </w:tc>
        <w:tc>
          <w:tcPr>
            <w:tcW w:w="77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1.设有固定24小时应急响应人工热线的得2分；无固定24小时应急响应电话仅有移动服务电话的不得分。</w:t>
            </w:r>
          </w:p>
          <w:p>
            <w:pPr>
              <w:widowControl/>
              <w:jc w:val="left"/>
              <w:rPr>
                <w:rFonts w:ascii="宋体" w:hAnsi="宋体"/>
                <w:kern w:val="0"/>
                <w:sz w:val="24"/>
                <w:lang w:bidi="he-IL"/>
              </w:rPr>
            </w:pPr>
            <w:r>
              <w:rPr>
                <w:rFonts w:hint="eastAsia" w:ascii="宋体" w:hAnsi="宋体"/>
                <w:kern w:val="0"/>
                <w:sz w:val="24"/>
                <w:lang w:bidi="he-IL"/>
              </w:rPr>
              <w:t>2.承诺的响应时间（三十分钟内到现场</w:t>
            </w:r>
            <w:r>
              <w:rPr>
                <w:rFonts w:ascii="宋体" w:hAnsi="宋体"/>
                <w:kern w:val="0"/>
                <w:sz w:val="24"/>
                <w:lang w:bidi="he-IL"/>
              </w:rPr>
              <w:t>）</w:t>
            </w:r>
            <w:r>
              <w:rPr>
                <w:rFonts w:hint="eastAsia" w:ascii="宋体" w:hAnsi="宋体"/>
                <w:kern w:val="0"/>
                <w:sz w:val="24"/>
                <w:lang w:bidi="he-IL"/>
              </w:rPr>
              <w:t>符合文件要求的得3分，不符合不得分。</w:t>
            </w:r>
          </w:p>
        </w:tc>
      </w:tr>
      <w:tr>
        <w:tblPrEx>
          <w:tblLayout w:type="fixed"/>
          <w:tblCellMar>
            <w:top w:w="0" w:type="dxa"/>
            <w:left w:w="108" w:type="dxa"/>
            <w:bottom w:w="0" w:type="dxa"/>
            <w:right w:w="108" w:type="dxa"/>
          </w:tblCellMar>
        </w:tblPrEx>
        <w:trPr>
          <w:trHeight w:val="861" w:hRule="atLeast"/>
        </w:trPr>
        <w:tc>
          <w:tcPr>
            <w:tcW w:w="531"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5</w:t>
            </w:r>
          </w:p>
        </w:tc>
        <w:tc>
          <w:tcPr>
            <w:tcW w:w="103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资质</w:t>
            </w:r>
          </w:p>
        </w:tc>
        <w:tc>
          <w:tcPr>
            <w:tcW w:w="45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5</w:t>
            </w:r>
          </w:p>
        </w:tc>
        <w:tc>
          <w:tcPr>
            <w:tcW w:w="7775"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生产商或经销商具有《中华人民共和国特种设备安装改造维修许可证》电梯类A级资质证书得5分，电梯类B级资质证书得3分，提供证书原件备查。</w:t>
            </w:r>
          </w:p>
        </w:tc>
      </w:tr>
      <w:tr>
        <w:tblPrEx>
          <w:tblLayout w:type="fixed"/>
          <w:tblCellMar>
            <w:top w:w="0" w:type="dxa"/>
            <w:left w:w="108" w:type="dxa"/>
            <w:bottom w:w="0" w:type="dxa"/>
            <w:right w:w="108" w:type="dxa"/>
          </w:tblCellMar>
        </w:tblPrEx>
        <w:trPr>
          <w:trHeight w:val="818"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6</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业绩</w:t>
            </w: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5</w:t>
            </w:r>
          </w:p>
        </w:tc>
        <w:tc>
          <w:tcPr>
            <w:tcW w:w="7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近三年以来10万以上类似维保业绩，金额可以累积。每累积一个10万得1分，至多5分。(金额及时间以合同为准，提供原件备查)</w:t>
            </w:r>
          </w:p>
          <w:p>
            <w:pPr>
              <w:widowControl/>
              <w:jc w:val="left"/>
              <w:rPr>
                <w:rFonts w:ascii="宋体" w:hAnsi="宋体"/>
                <w:kern w:val="0"/>
                <w:sz w:val="24"/>
                <w:lang w:bidi="he-IL"/>
              </w:rPr>
            </w:pPr>
            <w:r>
              <w:rPr>
                <w:rFonts w:hint="eastAsia" w:ascii="宋体" w:hAnsi="宋体"/>
                <w:kern w:val="0"/>
                <w:sz w:val="24"/>
                <w:lang w:bidi="he-IL"/>
              </w:rPr>
              <w:t xml:space="preserve"> </w:t>
            </w:r>
          </w:p>
        </w:tc>
      </w:tr>
      <w:tr>
        <w:tblPrEx>
          <w:tblLayout w:type="fixed"/>
          <w:tblCellMar>
            <w:top w:w="0" w:type="dxa"/>
            <w:left w:w="108" w:type="dxa"/>
            <w:bottom w:w="0" w:type="dxa"/>
            <w:right w:w="108" w:type="dxa"/>
          </w:tblCellMar>
        </w:tblPrEx>
        <w:trPr>
          <w:trHeight w:val="861" w:hRule="atLeast"/>
        </w:trPr>
        <w:tc>
          <w:tcPr>
            <w:tcW w:w="53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7</w:t>
            </w:r>
          </w:p>
        </w:tc>
        <w:tc>
          <w:tcPr>
            <w:tcW w:w="103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标书质量</w:t>
            </w:r>
          </w:p>
        </w:tc>
        <w:tc>
          <w:tcPr>
            <w:tcW w:w="45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2</w:t>
            </w:r>
          </w:p>
        </w:tc>
        <w:tc>
          <w:tcPr>
            <w:tcW w:w="77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kern w:val="0"/>
                <w:sz w:val="24"/>
                <w:lang w:bidi="he-IL"/>
              </w:rPr>
            </w:pPr>
            <w:r>
              <w:rPr>
                <w:rFonts w:hint="eastAsia" w:ascii="宋体" w:hAnsi="宋体"/>
                <w:kern w:val="0"/>
                <w:sz w:val="24"/>
                <w:lang w:bidi="he-IL"/>
              </w:rPr>
              <w:t>目录内容对应易查找,真实、完整、对应地填写响应招标要求情况一览表的得2分。</w:t>
            </w:r>
          </w:p>
        </w:tc>
      </w:tr>
    </w:tbl>
    <w:p>
      <w:pPr>
        <w:adjustRightInd w:val="0"/>
        <w:snapToGrid w:val="0"/>
        <w:spacing w:line="420" w:lineRule="exact"/>
        <w:ind w:firstLine="480" w:firstLineChars="200"/>
        <w:rPr>
          <w:rFonts w:ascii="黑体" w:hAnsi="黑体" w:eastAsia="黑体"/>
          <w:sz w:val="24"/>
        </w:rPr>
      </w:pPr>
      <w:r>
        <w:rPr>
          <w:rFonts w:hint="eastAsia" w:ascii="宋体" w:hAnsi="宋体" w:cs="宋体"/>
          <w:sz w:val="24"/>
        </w:rPr>
        <w:t>以上佐证材料请带原件备查，未携带原件或因携带原件不全所引起的后果由投标人自行承担。</w:t>
      </w:r>
    </w:p>
    <w:p>
      <w:pPr>
        <w:adjustRightInd w:val="0"/>
        <w:snapToGrid w:val="0"/>
        <w:spacing w:line="420" w:lineRule="exact"/>
        <w:ind w:firstLine="480" w:firstLineChars="200"/>
        <w:outlineLvl w:val="3"/>
        <w:rPr>
          <w:rFonts w:ascii="黑体" w:hAnsi="黑体" w:eastAsia="黑体"/>
          <w:color w:val="FF0000"/>
          <w:sz w:val="24"/>
        </w:rPr>
      </w:pPr>
      <w:r>
        <w:rPr>
          <w:rFonts w:hint="eastAsia" w:ascii="黑体" w:hAnsi="黑体" w:eastAsia="黑体"/>
          <w:color w:val="FF0000"/>
          <w:sz w:val="24"/>
        </w:rPr>
        <w:t>第二条 商务标评审（60分）</w:t>
      </w:r>
    </w:p>
    <w:p>
      <w:pPr>
        <w:snapToGrid w:val="0"/>
        <w:spacing w:line="420" w:lineRule="exact"/>
        <w:ind w:firstLine="484" w:firstLineChars="202"/>
        <w:rPr>
          <w:rFonts w:eastAsia="仿宋_GB2312"/>
          <w:sz w:val="24"/>
        </w:rPr>
      </w:pPr>
      <w:r>
        <w:rPr>
          <w:rFonts w:hint="eastAsia" w:eastAsia="仿宋_GB2312"/>
          <w:sz w:val="24"/>
        </w:rPr>
        <w:t>1</w:t>
      </w:r>
      <w:r>
        <w:rPr>
          <w:rFonts w:eastAsia="仿宋_GB2312"/>
          <w:sz w:val="24"/>
        </w:rPr>
        <w:t>.</w:t>
      </w:r>
      <w:r>
        <w:rPr>
          <w:rFonts w:hint="eastAsia" w:eastAsia="仿宋_GB2312"/>
          <w:sz w:val="24"/>
        </w:rPr>
        <w:t>本项目最高限价为每年人民币7.2万元，超过该限价作无效投标处理。</w:t>
      </w:r>
    </w:p>
    <w:p>
      <w:pPr>
        <w:snapToGrid w:val="0"/>
        <w:spacing w:line="420" w:lineRule="exact"/>
        <w:ind w:firstLine="484" w:firstLineChars="202"/>
        <w:rPr>
          <w:rFonts w:eastAsia="仿宋_GB2312"/>
          <w:sz w:val="24"/>
        </w:rPr>
      </w:pPr>
      <w:r>
        <w:rPr>
          <w:rFonts w:hint="eastAsia" w:eastAsia="仿宋_GB2312"/>
          <w:sz w:val="24"/>
        </w:rPr>
        <w:t>2</w:t>
      </w:r>
      <w:r>
        <w:rPr>
          <w:rFonts w:eastAsia="仿宋_GB2312"/>
          <w:sz w:val="24"/>
        </w:rPr>
        <w:t>.</w:t>
      </w:r>
      <w:r>
        <w:rPr>
          <w:rFonts w:hint="eastAsia" w:eastAsia="仿宋_GB2312"/>
          <w:sz w:val="24"/>
        </w:rPr>
        <w:t>所有有效投标的投标报价的算术平均值乘以98%定为投标基准价，投标价等于基准价的为满分。其他供应商的价格分统一按照下列公式计算：</w:t>
      </w:r>
    </w:p>
    <w:p>
      <w:pPr>
        <w:snapToGrid w:val="0"/>
        <w:spacing w:line="420" w:lineRule="exact"/>
        <w:ind w:firstLine="484" w:firstLineChars="202"/>
        <w:rPr>
          <w:rFonts w:hint="eastAsia" w:eastAsia="仿宋_GB2312"/>
          <w:sz w:val="24"/>
        </w:rPr>
      </w:pPr>
      <w:r>
        <w:rPr>
          <w:rFonts w:hint="eastAsia" w:eastAsia="仿宋_GB2312"/>
          <w:sz w:val="24"/>
        </w:rPr>
        <w:t xml:space="preserve">   1、每高于基准价1.0%的扣2分，以此类推。计算公式为：商务标得分=60-〔（投标报价-基准价）/基准价〕×100×2</w:t>
      </w:r>
    </w:p>
    <w:p>
      <w:pPr>
        <w:snapToGrid w:val="0"/>
        <w:spacing w:line="420" w:lineRule="exact"/>
        <w:ind w:firstLine="484" w:firstLineChars="202"/>
        <w:rPr>
          <w:rFonts w:eastAsia="仿宋_GB2312"/>
          <w:sz w:val="24"/>
        </w:rPr>
      </w:pPr>
      <w:r>
        <w:rPr>
          <w:rFonts w:hint="eastAsia" w:eastAsia="仿宋_GB2312"/>
          <w:sz w:val="24"/>
        </w:rPr>
        <w:t xml:space="preserve">   2、每低于基准价1.0%的扣1分，以此类推。计算公式为：商务标得分=60-〔（基准价-投标报价）/基准价〕×100×1</w:t>
      </w:r>
    </w:p>
    <w:p>
      <w:pPr>
        <w:snapToGrid w:val="0"/>
        <w:spacing w:line="420" w:lineRule="exact"/>
        <w:ind w:firstLine="484" w:firstLineChars="202"/>
        <w:rPr>
          <w:rFonts w:eastAsia="仿宋_GB2312"/>
          <w:sz w:val="24"/>
        </w:rPr>
      </w:pPr>
      <w:r>
        <w:rPr>
          <w:rFonts w:hint="eastAsia" w:eastAsia="仿宋_GB2312"/>
          <w:sz w:val="24"/>
        </w:rPr>
        <w:t>第三</w:t>
      </w:r>
      <w:r>
        <w:rPr>
          <w:rFonts w:eastAsia="仿宋_GB2312"/>
          <w:sz w:val="24"/>
        </w:rPr>
        <w:t>条</w:t>
      </w:r>
      <w:r>
        <w:rPr>
          <w:rFonts w:hint="eastAsia" w:eastAsia="仿宋_GB2312"/>
          <w:sz w:val="24"/>
        </w:rPr>
        <w:t xml:space="preserve"> 评标时评标小组评委成员对评标细则若有争议，由评标小组评委成员集体讨论确定并对未尽情况有最终解释权。评标小组评委成员对需要共同认定的事项存在争议的，应当按照少数服从多数的原则作出结论。持不同意见的评标小组评委成员应当在评标报告上签署不同意见及理由，否则视为同意评标报告。</w:t>
      </w:r>
    </w:p>
    <w:p>
      <w:pPr>
        <w:snapToGrid w:val="0"/>
        <w:spacing w:line="420" w:lineRule="exact"/>
        <w:ind w:firstLine="484" w:firstLineChars="202"/>
        <w:rPr>
          <w:rFonts w:eastAsia="仿宋_GB2312"/>
          <w:sz w:val="24"/>
        </w:rPr>
      </w:pPr>
      <w:r>
        <w:rPr>
          <w:rFonts w:hint="eastAsia" w:eastAsia="仿宋_GB2312"/>
          <w:sz w:val="24"/>
        </w:rPr>
        <w:t>第四条 对落标的投标人不做落标原因的解释。</w:t>
      </w:r>
    </w:p>
    <w:p>
      <w:pPr>
        <w:adjustRightInd w:val="0"/>
        <w:snapToGrid w:val="0"/>
        <w:spacing w:line="420" w:lineRule="exact"/>
        <w:ind w:firstLine="480" w:firstLineChars="200"/>
        <w:outlineLvl w:val="3"/>
        <w:rPr>
          <w:rFonts w:ascii="黑体" w:hAnsi="黑体" w:eastAsia="黑体"/>
          <w:sz w:val="24"/>
        </w:rPr>
      </w:pPr>
    </w:p>
    <w:p>
      <w:pPr>
        <w:snapToGrid w:val="0"/>
        <w:spacing w:line="420" w:lineRule="exact"/>
        <w:ind w:firstLine="487" w:firstLineChars="202"/>
        <w:jc w:val="center"/>
        <w:outlineLvl w:val="1"/>
        <w:rPr>
          <w:rFonts w:eastAsia="仿宋_GB2312"/>
          <w:b/>
          <w:sz w:val="24"/>
        </w:rPr>
      </w:pPr>
      <w:r>
        <w:rPr>
          <w:rFonts w:hint="eastAsia" w:eastAsia="仿宋_GB2312"/>
          <w:b/>
          <w:sz w:val="24"/>
        </w:rPr>
        <w:t>四、出现下列情形之一的，作无效磋商处理</w:t>
      </w:r>
    </w:p>
    <w:p>
      <w:pPr>
        <w:spacing w:line="420" w:lineRule="exact"/>
        <w:ind w:firstLine="484" w:firstLineChars="202"/>
        <w:rPr>
          <w:rFonts w:eastAsia="仿宋_GB2312"/>
          <w:sz w:val="24"/>
        </w:rPr>
      </w:pPr>
      <w:r>
        <w:rPr>
          <w:rFonts w:eastAsia="仿宋_GB2312"/>
          <w:sz w:val="24"/>
        </w:rPr>
        <w:t>1.</w:t>
      </w:r>
      <w:r>
        <w:rPr>
          <w:rFonts w:hint="eastAsia" w:eastAsia="仿宋_GB2312"/>
          <w:sz w:val="24"/>
        </w:rPr>
        <w:t>未按时交纳投标保证金或金额不足的；</w:t>
      </w:r>
    </w:p>
    <w:p>
      <w:pPr>
        <w:spacing w:line="420" w:lineRule="exact"/>
        <w:ind w:firstLine="484" w:firstLineChars="202"/>
        <w:rPr>
          <w:rFonts w:eastAsia="仿宋_GB2312"/>
          <w:sz w:val="24"/>
        </w:rPr>
      </w:pPr>
      <w:r>
        <w:rPr>
          <w:rFonts w:eastAsia="仿宋_GB2312"/>
          <w:sz w:val="24"/>
        </w:rPr>
        <w:t>2.</w:t>
      </w:r>
      <w:r>
        <w:rPr>
          <w:rFonts w:hint="eastAsia" w:eastAsia="仿宋_GB2312"/>
          <w:sz w:val="24"/>
        </w:rPr>
        <w:t>投标响应文件未按规定要求装订、密封、签署、盖章及资料不齐全的；</w:t>
      </w:r>
    </w:p>
    <w:p>
      <w:pPr>
        <w:spacing w:line="420" w:lineRule="exact"/>
        <w:ind w:firstLine="484" w:firstLineChars="202"/>
        <w:rPr>
          <w:rFonts w:eastAsia="仿宋_GB2312"/>
          <w:sz w:val="24"/>
        </w:rPr>
      </w:pPr>
      <w:r>
        <w:rPr>
          <w:rFonts w:eastAsia="仿宋_GB2312"/>
          <w:sz w:val="24"/>
        </w:rPr>
        <w:t>3.</w:t>
      </w:r>
      <w:r>
        <w:rPr>
          <w:rFonts w:hint="eastAsia" w:eastAsia="仿宋_GB2312"/>
          <w:sz w:val="24"/>
        </w:rPr>
        <w:t>投标文件的资料有虚报或者谎报的；</w:t>
      </w:r>
    </w:p>
    <w:p>
      <w:pPr>
        <w:spacing w:line="420" w:lineRule="exact"/>
        <w:ind w:firstLine="484" w:firstLineChars="202"/>
        <w:rPr>
          <w:rFonts w:eastAsia="仿宋_GB2312"/>
          <w:sz w:val="24"/>
        </w:rPr>
      </w:pPr>
      <w:r>
        <w:rPr>
          <w:rFonts w:eastAsia="仿宋_GB2312"/>
          <w:sz w:val="24"/>
        </w:rPr>
        <w:t>4.</w:t>
      </w:r>
      <w:r>
        <w:rPr>
          <w:rFonts w:hint="eastAsia" w:eastAsia="仿宋_GB2312"/>
          <w:sz w:val="24"/>
        </w:rPr>
        <w:t>投标文件技术部分出现投标报价的内容；</w:t>
      </w:r>
    </w:p>
    <w:p>
      <w:pPr>
        <w:spacing w:line="420" w:lineRule="exact"/>
        <w:ind w:firstLine="484" w:firstLineChars="202"/>
        <w:rPr>
          <w:rFonts w:eastAsia="仿宋_GB2312"/>
          <w:sz w:val="24"/>
        </w:rPr>
      </w:pPr>
      <w:r>
        <w:rPr>
          <w:rFonts w:eastAsia="仿宋_GB2312"/>
          <w:sz w:val="24"/>
        </w:rPr>
        <w:t>5.</w:t>
      </w:r>
      <w:r>
        <w:rPr>
          <w:rFonts w:hint="eastAsia" w:eastAsia="仿宋_GB2312"/>
          <w:sz w:val="24"/>
        </w:rPr>
        <w:t>不具备投标文件规定的资格要求的；</w:t>
      </w:r>
    </w:p>
    <w:p>
      <w:pPr>
        <w:spacing w:line="420" w:lineRule="exact"/>
        <w:ind w:firstLine="484" w:firstLineChars="202"/>
        <w:rPr>
          <w:rFonts w:eastAsia="仿宋_GB2312"/>
          <w:sz w:val="24"/>
        </w:rPr>
      </w:pPr>
      <w:r>
        <w:rPr>
          <w:rFonts w:eastAsia="仿宋_GB2312"/>
          <w:sz w:val="24"/>
        </w:rPr>
        <w:t>6.</w:t>
      </w:r>
      <w:r>
        <w:rPr>
          <w:rFonts w:hint="eastAsia" w:eastAsia="仿宋_GB2312"/>
          <w:sz w:val="24"/>
        </w:rPr>
        <w:t>投标响应文件有重大漏项或重大不合理的；</w:t>
      </w:r>
    </w:p>
    <w:p>
      <w:pPr>
        <w:spacing w:line="420" w:lineRule="exact"/>
        <w:ind w:firstLine="484" w:firstLineChars="202"/>
        <w:rPr>
          <w:rFonts w:eastAsia="仿宋_GB2312"/>
          <w:sz w:val="24"/>
        </w:rPr>
      </w:pPr>
      <w:r>
        <w:rPr>
          <w:rFonts w:eastAsia="仿宋_GB2312"/>
          <w:sz w:val="24"/>
        </w:rPr>
        <w:t>7.</w:t>
      </w:r>
      <w:r>
        <w:rPr>
          <w:rFonts w:hint="eastAsia" w:eastAsia="仿宋_GB2312"/>
          <w:sz w:val="24"/>
        </w:rPr>
        <w:t>项目技术、方案不满足项目需求中的要求，有重大偏离或保留的；</w:t>
      </w:r>
    </w:p>
    <w:p>
      <w:pPr>
        <w:spacing w:line="420" w:lineRule="exact"/>
        <w:ind w:firstLine="484" w:firstLineChars="202"/>
        <w:rPr>
          <w:rFonts w:eastAsia="仿宋_GB2312"/>
          <w:sz w:val="24"/>
        </w:rPr>
      </w:pPr>
      <w:r>
        <w:rPr>
          <w:rFonts w:eastAsia="仿宋_GB2312"/>
          <w:sz w:val="24"/>
        </w:rPr>
        <w:t>8.</w:t>
      </w:r>
      <w:r>
        <w:rPr>
          <w:rFonts w:hint="eastAsia" w:eastAsia="仿宋_GB2312"/>
          <w:sz w:val="24"/>
        </w:rPr>
        <w:t>投标响应报价超出项目最高限价的；</w:t>
      </w:r>
    </w:p>
    <w:p>
      <w:pPr>
        <w:spacing w:line="420" w:lineRule="exact"/>
        <w:ind w:firstLine="484" w:firstLineChars="202"/>
        <w:rPr>
          <w:rFonts w:eastAsia="仿宋_GB2312"/>
          <w:sz w:val="24"/>
        </w:rPr>
      </w:pPr>
      <w:r>
        <w:rPr>
          <w:rFonts w:eastAsia="仿宋_GB2312"/>
          <w:sz w:val="24"/>
        </w:rPr>
        <w:t>9.</w:t>
      </w:r>
      <w:r>
        <w:rPr>
          <w:rFonts w:hint="eastAsia" w:eastAsia="仿宋_GB2312"/>
          <w:sz w:val="24"/>
        </w:rPr>
        <w:t>被认定为低于成本报价而投标竞标的；</w:t>
      </w:r>
    </w:p>
    <w:p>
      <w:pPr>
        <w:spacing w:line="420" w:lineRule="exact"/>
        <w:ind w:firstLine="484" w:firstLineChars="202"/>
        <w:rPr>
          <w:rFonts w:eastAsia="仿宋_GB2312"/>
          <w:sz w:val="24"/>
        </w:rPr>
      </w:pPr>
      <w:r>
        <w:rPr>
          <w:rFonts w:eastAsia="仿宋_GB2312"/>
          <w:sz w:val="24"/>
        </w:rPr>
        <w:t>1</w:t>
      </w:r>
      <w:r>
        <w:rPr>
          <w:rFonts w:hint="eastAsia" w:eastAsia="仿宋_GB2312"/>
          <w:sz w:val="24"/>
        </w:rPr>
        <w:t>0</w:t>
      </w:r>
      <w:r>
        <w:rPr>
          <w:rFonts w:eastAsia="仿宋_GB2312"/>
          <w:sz w:val="24"/>
        </w:rPr>
        <w:t>.</w:t>
      </w:r>
      <w:r>
        <w:rPr>
          <w:rFonts w:hint="eastAsia" w:eastAsia="仿宋_GB2312"/>
          <w:sz w:val="24"/>
        </w:rPr>
        <w:t>不符合法律、法规和投标文件中规定的实质性响应要求的；</w:t>
      </w:r>
    </w:p>
    <w:p>
      <w:pPr>
        <w:spacing w:line="420" w:lineRule="exact"/>
        <w:ind w:firstLine="484" w:firstLineChars="202"/>
        <w:rPr>
          <w:rFonts w:eastAsia="仿宋_GB2312"/>
          <w:sz w:val="24"/>
        </w:rPr>
      </w:pPr>
      <w:r>
        <w:rPr>
          <w:rFonts w:eastAsia="仿宋_GB2312"/>
          <w:sz w:val="24"/>
        </w:rPr>
        <w:t>1</w:t>
      </w:r>
      <w:r>
        <w:rPr>
          <w:rFonts w:hint="eastAsia" w:eastAsia="仿宋_GB2312"/>
          <w:sz w:val="24"/>
        </w:rPr>
        <w:t>1</w:t>
      </w:r>
      <w:r>
        <w:rPr>
          <w:rFonts w:eastAsia="仿宋_GB2312"/>
          <w:sz w:val="24"/>
        </w:rPr>
        <w:t>.</w:t>
      </w:r>
      <w:r>
        <w:rPr>
          <w:rFonts w:hint="eastAsia" w:eastAsia="仿宋_GB2312"/>
          <w:sz w:val="24"/>
        </w:rPr>
        <w:t>评标小组认定为其他情况可确定为无效投标的。</w:t>
      </w:r>
    </w:p>
    <w:p>
      <w:pPr>
        <w:spacing w:line="420" w:lineRule="exact"/>
        <w:ind w:firstLine="484" w:firstLineChars="202"/>
        <w:rPr>
          <w:rFonts w:eastAsia="仿宋_GB2312"/>
          <w:sz w:val="24"/>
        </w:rPr>
      </w:pPr>
    </w:p>
    <w:p>
      <w:pPr>
        <w:snapToGrid w:val="0"/>
        <w:spacing w:line="420" w:lineRule="exact"/>
        <w:ind w:firstLine="487" w:firstLineChars="202"/>
        <w:jc w:val="center"/>
        <w:outlineLvl w:val="1"/>
        <w:rPr>
          <w:rFonts w:eastAsia="仿宋_GB2312"/>
          <w:b/>
          <w:sz w:val="24"/>
        </w:rPr>
      </w:pPr>
      <w:r>
        <w:rPr>
          <w:rFonts w:hint="eastAsia" w:eastAsia="仿宋_GB2312"/>
          <w:b/>
          <w:sz w:val="24"/>
        </w:rPr>
        <w:t>五、出现下列情形之一的，作废标处理</w:t>
      </w:r>
    </w:p>
    <w:p>
      <w:pPr>
        <w:spacing w:line="420" w:lineRule="exact"/>
        <w:ind w:firstLine="484" w:firstLineChars="202"/>
        <w:rPr>
          <w:rFonts w:eastAsia="仿宋_GB2312"/>
          <w:sz w:val="24"/>
        </w:rPr>
      </w:pPr>
      <w:r>
        <w:rPr>
          <w:rFonts w:eastAsia="仿宋_GB2312"/>
          <w:sz w:val="24"/>
        </w:rPr>
        <w:t>1.</w:t>
      </w:r>
      <w:r>
        <w:rPr>
          <w:rFonts w:hint="eastAsia" w:eastAsia="仿宋_GB2312"/>
          <w:sz w:val="24"/>
        </w:rPr>
        <w:t>供应商的报价均超出了采购预算，采购人不能支付的；</w:t>
      </w:r>
    </w:p>
    <w:p>
      <w:pPr>
        <w:spacing w:line="420" w:lineRule="exact"/>
        <w:ind w:firstLine="484" w:firstLineChars="202"/>
        <w:rPr>
          <w:rFonts w:eastAsia="仿宋_GB2312"/>
          <w:sz w:val="24"/>
        </w:rPr>
      </w:pPr>
      <w:r>
        <w:rPr>
          <w:rFonts w:eastAsia="仿宋_GB2312"/>
          <w:sz w:val="24"/>
        </w:rPr>
        <w:t>2.</w:t>
      </w:r>
      <w:r>
        <w:rPr>
          <w:rFonts w:hint="eastAsia" w:eastAsia="仿宋_GB2312"/>
          <w:sz w:val="24"/>
        </w:rPr>
        <w:t>因情况变化，不再符合规定的投标采购方式所适用情形的；</w:t>
      </w:r>
    </w:p>
    <w:p>
      <w:pPr>
        <w:spacing w:line="420" w:lineRule="exact"/>
        <w:ind w:firstLine="484" w:firstLineChars="202"/>
        <w:rPr>
          <w:rFonts w:eastAsia="仿宋_GB2312"/>
          <w:sz w:val="24"/>
        </w:rPr>
      </w:pPr>
      <w:r>
        <w:rPr>
          <w:rFonts w:eastAsia="仿宋_GB2312"/>
          <w:sz w:val="24"/>
        </w:rPr>
        <w:t>3.</w:t>
      </w:r>
      <w:r>
        <w:rPr>
          <w:rFonts w:hint="eastAsia" w:eastAsia="仿宋_GB2312"/>
          <w:sz w:val="24"/>
        </w:rPr>
        <w:t>供应商或经评审符合要求的供应商不足3家的；</w:t>
      </w:r>
    </w:p>
    <w:p>
      <w:pPr>
        <w:spacing w:line="420" w:lineRule="exact"/>
        <w:ind w:firstLine="484" w:firstLineChars="202"/>
        <w:rPr>
          <w:rFonts w:eastAsia="仿宋_GB2312"/>
          <w:sz w:val="24"/>
        </w:rPr>
      </w:pPr>
      <w:r>
        <w:rPr>
          <w:rFonts w:eastAsia="仿宋_GB2312"/>
          <w:sz w:val="24"/>
        </w:rPr>
        <w:t>4.</w:t>
      </w:r>
      <w:r>
        <w:rPr>
          <w:rFonts w:hint="eastAsia" w:eastAsia="仿宋_GB2312"/>
          <w:sz w:val="24"/>
        </w:rPr>
        <w:t>出现影响采购公正的违法、违规行为的；</w:t>
      </w:r>
    </w:p>
    <w:p>
      <w:pPr>
        <w:spacing w:line="420" w:lineRule="exact"/>
        <w:ind w:firstLine="484" w:firstLineChars="202"/>
        <w:rPr>
          <w:rFonts w:eastAsia="仿宋_GB2312"/>
          <w:sz w:val="24"/>
        </w:rPr>
      </w:pPr>
      <w:r>
        <w:rPr>
          <w:rFonts w:eastAsia="仿宋_GB2312"/>
          <w:sz w:val="24"/>
        </w:rPr>
        <w:t>5.</w:t>
      </w:r>
      <w:r>
        <w:rPr>
          <w:rFonts w:hint="eastAsia" w:eastAsia="仿宋_GB2312"/>
          <w:sz w:val="24"/>
        </w:rPr>
        <w:t>因重大变故，采购任务取消的。</w:t>
      </w:r>
    </w:p>
    <w:p>
      <w:pPr>
        <w:spacing w:line="360" w:lineRule="auto"/>
        <w:ind w:left="-360" w:firstLine="440" w:firstLineChars="200"/>
        <w:rPr>
          <w:rFonts w:ascii="宋体"/>
          <w:sz w:val="22"/>
          <w:szCs w:val="28"/>
          <w:shd w:val="clear" w:color="auto" w:fill="FFFFFF"/>
          <w:lang w:val="en-GB"/>
        </w:rPr>
      </w:pPr>
    </w:p>
    <w:p>
      <w:pPr>
        <w:tabs>
          <w:tab w:val="left" w:pos="6840"/>
        </w:tabs>
        <w:ind w:left="5400"/>
        <w:rPr>
          <w:rFonts w:ascii="宋体"/>
          <w:bCs/>
          <w:sz w:val="28"/>
          <w:szCs w:val="28"/>
        </w:rPr>
      </w:pPr>
      <w:bookmarkStart w:id="8" w:name="_Toc52352457"/>
    </w:p>
    <w:p>
      <w:pPr>
        <w:tabs>
          <w:tab w:val="left" w:pos="6840"/>
        </w:tabs>
        <w:ind w:left="5400"/>
        <w:rPr>
          <w:rFonts w:ascii="宋体"/>
          <w:bCs/>
          <w:sz w:val="28"/>
          <w:szCs w:val="28"/>
        </w:rPr>
      </w:pPr>
    </w:p>
    <w:p>
      <w:pPr>
        <w:tabs>
          <w:tab w:val="left" w:pos="6840"/>
        </w:tabs>
        <w:ind w:left="5400"/>
        <w:rPr>
          <w:rFonts w:ascii="宋体"/>
          <w:bCs/>
          <w:sz w:val="28"/>
          <w:szCs w:val="28"/>
        </w:rPr>
      </w:pPr>
    </w:p>
    <w:p>
      <w:pPr>
        <w:tabs>
          <w:tab w:val="left" w:pos="6840"/>
        </w:tabs>
        <w:ind w:left="5400"/>
        <w:rPr>
          <w:rFonts w:ascii="宋体"/>
          <w:bCs/>
          <w:sz w:val="28"/>
          <w:szCs w:val="28"/>
        </w:rPr>
      </w:pPr>
    </w:p>
    <w:p>
      <w:pPr>
        <w:tabs>
          <w:tab w:val="left" w:pos="6840"/>
        </w:tabs>
        <w:ind w:left="5400"/>
        <w:rPr>
          <w:rFonts w:ascii="宋体"/>
          <w:bCs/>
          <w:sz w:val="28"/>
          <w:szCs w:val="28"/>
        </w:rPr>
      </w:pPr>
    </w:p>
    <w:p>
      <w:pPr>
        <w:tabs>
          <w:tab w:val="left" w:pos="6840"/>
        </w:tabs>
        <w:ind w:left="5400"/>
        <w:rPr>
          <w:rFonts w:ascii="宋体"/>
          <w:bCs/>
          <w:sz w:val="28"/>
          <w:szCs w:val="28"/>
        </w:rPr>
      </w:pPr>
    </w:p>
    <w:p>
      <w:pPr>
        <w:tabs>
          <w:tab w:val="left" w:pos="6840"/>
        </w:tabs>
        <w:ind w:left="5400"/>
        <w:rPr>
          <w:rFonts w:ascii="宋体"/>
          <w:bCs/>
          <w:sz w:val="28"/>
          <w:szCs w:val="28"/>
        </w:rPr>
      </w:pPr>
    </w:p>
    <w:p>
      <w:pPr>
        <w:tabs>
          <w:tab w:val="left" w:pos="6840"/>
        </w:tabs>
        <w:ind w:left="5400"/>
        <w:rPr>
          <w:rFonts w:ascii="宋体"/>
          <w:bCs/>
          <w:sz w:val="28"/>
          <w:szCs w:val="28"/>
        </w:rPr>
      </w:pPr>
    </w:p>
    <w:p>
      <w:pPr>
        <w:tabs>
          <w:tab w:val="left" w:pos="6840"/>
        </w:tabs>
        <w:ind w:left="5400"/>
        <w:rPr>
          <w:rFonts w:ascii="宋体"/>
          <w:bCs/>
          <w:sz w:val="28"/>
          <w:szCs w:val="28"/>
        </w:rPr>
      </w:pPr>
    </w:p>
    <w:p>
      <w:pPr>
        <w:tabs>
          <w:tab w:val="left" w:pos="6840"/>
        </w:tabs>
        <w:ind w:left="5400"/>
        <w:rPr>
          <w:rFonts w:ascii="宋体"/>
          <w:bCs/>
          <w:sz w:val="28"/>
          <w:szCs w:val="28"/>
        </w:rPr>
      </w:pPr>
    </w:p>
    <w:p>
      <w:pPr>
        <w:rPr>
          <w:rFonts w:ascii="宋体"/>
          <w:bCs/>
          <w:sz w:val="28"/>
          <w:szCs w:val="28"/>
        </w:rPr>
      </w:pPr>
    </w:p>
    <w:p>
      <w:pPr>
        <w:spacing w:line="360" w:lineRule="auto"/>
        <w:jc w:val="center"/>
        <w:rPr>
          <w:rFonts w:ascii="宋体" w:hAnsi="宋体"/>
          <w:b/>
          <w:sz w:val="44"/>
          <w:szCs w:val="44"/>
          <w:lang w:val="en-GB"/>
        </w:rPr>
      </w:pPr>
      <w:r>
        <w:rPr>
          <w:rFonts w:hint="eastAsia" w:ascii="宋体" w:hAnsi="宋体"/>
          <w:b/>
          <w:sz w:val="44"/>
          <w:szCs w:val="44"/>
          <w:lang w:val="en-GB"/>
        </w:rPr>
        <w:t>第五部分</w:t>
      </w:r>
      <w:r>
        <w:rPr>
          <w:rFonts w:ascii="宋体" w:hAnsi="宋体"/>
          <w:b/>
          <w:sz w:val="44"/>
          <w:szCs w:val="44"/>
          <w:lang w:val="en-GB"/>
        </w:rPr>
        <w:t xml:space="preserve">  </w:t>
      </w:r>
      <w:r>
        <w:rPr>
          <w:rFonts w:hint="eastAsia" w:ascii="宋体" w:hAnsi="宋体"/>
          <w:b/>
          <w:sz w:val="44"/>
          <w:szCs w:val="44"/>
          <w:lang w:val="en-GB"/>
        </w:rPr>
        <w:t>投标文件格式</w:t>
      </w:r>
      <w:bookmarkEnd w:id="8"/>
    </w:p>
    <w:p>
      <w:pPr>
        <w:snapToGrid w:val="0"/>
        <w:spacing w:line="520" w:lineRule="exact"/>
        <w:jc w:val="center"/>
        <w:outlineLvl w:val="3"/>
        <w:rPr>
          <w:rFonts w:ascii="仿宋" w:hAnsi="仿宋" w:eastAsia="仿宋" w:cs="宋体"/>
          <w:b/>
          <w:sz w:val="28"/>
          <w:szCs w:val="28"/>
        </w:rPr>
      </w:pPr>
      <w:r>
        <w:rPr>
          <w:rFonts w:hint="eastAsia" w:ascii="仿宋" w:hAnsi="仿宋" w:eastAsia="仿宋" w:cs="宋体"/>
          <w:b/>
          <w:sz w:val="28"/>
          <w:szCs w:val="28"/>
        </w:rPr>
        <w:t>一、授权委托书</w:t>
      </w:r>
    </w:p>
    <w:p>
      <w:pPr>
        <w:snapToGrid w:val="0"/>
        <w:spacing w:line="520" w:lineRule="exact"/>
        <w:jc w:val="center"/>
        <w:rPr>
          <w:rFonts w:ascii="仿宋" w:hAnsi="仿宋" w:eastAsia="仿宋" w:cs="宋体"/>
          <w:bCs/>
          <w:sz w:val="28"/>
          <w:szCs w:val="28"/>
        </w:rPr>
      </w:pPr>
      <w:r>
        <w:rPr>
          <w:rFonts w:hint="eastAsia" w:ascii="仿宋" w:hAnsi="仿宋" w:eastAsia="仿宋" w:cs="宋体"/>
          <w:bCs/>
          <w:sz w:val="28"/>
          <w:szCs w:val="28"/>
        </w:rPr>
        <w:t>（如被授权人参加招标，须出示此证明）</w:t>
      </w:r>
    </w:p>
    <w:p>
      <w:pPr>
        <w:snapToGrid w:val="0"/>
        <w:spacing w:line="520" w:lineRule="exact"/>
        <w:jc w:val="center"/>
        <w:rPr>
          <w:rFonts w:ascii="仿宋" w:hAnsi="仿宋" w:eastAsia="仿宋" w:cs="宋体"/>
          <w:bCs/>
          <w:sz w:val="28"/>
          <w:szCs w:val="28"/>
        </w:rPr>
      </w:pPr>
    </w:p>
    <w:p>
      <w:pPr>
        <w:snapToGrid w:val="0"/>
        <w:spacing w:line="520" w:lineRule="exact"/>
        <w:jc w:val="left"/>
        <w:rPr>
          <w:rFonts w:ascii="仿宋" w:hAnsi="仿宋" w:eastAsia="仿宋" w:cs="宋体"/>
          <w:color w:val="000000"/>
          <w:sz w:val="24"/>
          <w:u w:val="single"/>
        </w:rPr>
      </w:pPr>
      <w:r>
        <w:rPr>
          <w:rFonts w:hint="eastAsia" w:ascii="仿宋" w:hAnsi="仿宋" w:eastAsia="仿宋" w:cs="宋体"/>
          <w:b/>
          <w:sz w:val="24"/>
          <w:u w:val="single"/>
        </w:rPr>
        <w:t>南通市阳光养老产业集团有限公司</w:t>
      </w:r>
      <w:r>
        <w:rPr>
          <w:rFonts w:ascii="仿宋" w:hAnsi="仿宋" w:eastAsia="仿宋" w:cs="宋体"/>
          <w:color w:val="000000"/>
          <w:sz w:val="24"/>
          <w:u w:val="single"/>
        </w:rPr>
        <w:t>:</w:t>
      </w:r>
    </w:p>
    <w:p>
      <w:pPr>
        <w:snapToGrid w:val="0"/>
        <w:spacing w:line="480" w:lineRule="exact"/>
        <w:ind w:firstLine="480" w:firstLineChars="200"/>
        <w:rPr>
          <w:rFonts w:ascii="仿宋" w:hAnsi="仿宋" w:eastAsia="仿宋" w:cs="宋体"/>
          <w:sz w:val="24"/>
          <w:u w:val="single"/>
        </w:rPr>
      </w:pPr>
      <w:r>
        <w:rPr>
          <w:rFonts w:hint="eastAsia" w:ascii="仿宋" w:hAnsi="仿宋" w:eastAsia="仿宋" w:cs="宋体"/>
          <w:sz w:val="24"/>
        </w:rPr>
        <w:t>兹授权</w:t>
      </w:r>
      <w:r>
        <w:rPr>
          <w:rFonts w:ascii="仿宋" w:hAnsi="仿宋" w:eastAsia="仿宋" w:cs="宋体"/>
          <w:sz w:val="24"/>
          <w:u w:val="single"/>
        </w:rPr>
        <w:t xml:space="preserve">               </w:t>
      </w:r>
      <w:r>
        <w:rPr>
          <w:rFonts w:hint="eastAsia" w:ascii="仿宋" w:hAnsi="仿宋" w:eastAsia="仿宋" w:cs="宋体"/>
          <w:sz w:val="24"/>
        </w:rPr>
        <w:t>（被授权人的姓名）代表我公司参加</w:t>
      </w:r>
      <w:r>
        <w:rPr>
          <w:rFonts w:ascii="仿宋" w:hAnsi="仿宋" w:eastAsia="仿宋" w:cs="宋体"/>
          <w:sz w:val="24"/>
          <w:u w:val="single"/>
        </w:rPr>
        <w:t xml:space="preserve">  </w:t>
      </w:r>
      <w:r>
        <w:rPr>
          <w:rFonts w:hint="eastAsia" w:ascii="仿宋" w:hAnsi="仿宋" w:eastAsia="仿宋" w:cs="宋体"/>
          <w:sz w:val="24"/>
          <w:u w:val="single"/>
        </w:rPr>
        <w:t xml:space="preserve">          </w:t>
      </w:r>
    </w:p>
    <w:p>
      <w:pPr>
        <w:snapToGrid w:val="0"/>
        <w:spacing w:line="480" w:lineRule="exact"/>
        <w:rPr>
          <w:rFonts w:ascii="仿宋" w:hAnsi="仿宋" w:eastAsia="仿宋" w:cs="宋体"/>
          <w:sz w:val="24"/>
        </w:rPr>
      </w:pP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hint="eastAsia" w:ascii="仿宋" w:hAnsi="仿宋" w:eastAsia="仿宋" w:cs="宋体"/>
          <w:sz w:val="24"/>
        </w:rPr>
        <w:t>（招标项目名称及项目编号</w:t>
      </w:r>
      <w:r>
        <w:rPr>
          <w:rFonts w:ascii="仿宋" w:hAnsi="仿宋" w:eastAsia="仿宋" w:cs="宋体"/>
          <w:sz w:val="24"/>
        </w:rPr>
        <w:t>)</w:t>
      </w:r>
      <w:r>
        <w:rPr>
          <w:rFonts w:hint="eastAsia" w:ascii="仿宋" w:hAnsi="仿宋" w:eastAsia="仿宋" w:cs="宋体"/>
          <w:sz w:val="24"/>
        </w:rPr>
        <w:t>项目的招标活动，全权处理一切与该项目招标有关的事务。其在办理上述事宜过程中所签署的所有文件我公司均予以承认。</w:t>
      </w:r>
      <w:r>
        <w:rPr>
          <w:rFonts w:ascii="仿宋" w:hAnsi="仿宋" w:eastAsia="仿宋" w:cs="宋体"/>
          <w:sz w:val="24"/>
        </w:rPr>
        <w:t xml:space="preserve">  </w:t>
      </w:r>
    </w:p>
    <w:p>
      <w:pPr>
        <w:adjustRightInd w:val="0"/>
        <w:snapToGrid w:val="0"/>
        <w:spacing w:line="500" w:lineRule="exact"/>
        <w:ind w:firstLine="480" w:firstLineChars="200"/>
        <w:jc w:val="left"/>
        <w:rPr>
          <w:rFonts w:ascii="仿宋" w:hAnsi="仿宋" w:eastAsia="仿宋" w:cs="宋体"/>
          <w:kern w:val="0"/>
          <w:sz w:val="24"/>
        </w:rPr>
      </w:pPr>
    </w:p>
    <w:p>
      <w:pPr>
        <w:adjustRightInd w:val="0"/>
        <w:snapToGrid w:val="0"/>
        <w:spacing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被授权人无转委托权，特此委托。</w:t>
      </w:r>
    </w:p>
    <w:p>
      <w:pPr>
        <w:adjustRightInd w:val="0"/>
        <w:snapToGrid w:val="0"/>
        <w:spacing w:line="500" w:lineRule="exact"/>
        <w:ind w:firstLine="480" w:firstLineChars="200"/>
        <w:jc w:val="left"/>
        <w:rPr>
          <w:rFonts w:ascii="仿宋" w:hAnsi="仿宋" w:eastAsia="仿宋" w:cs="宋体"/>
          <w:kern w:val="0"/>
          <w:sz w:val="24"/>
        </w:rPr>
      </w:pPr>
    </w:p>
    <w:p>
      <w:pPr>
        <w:spacing w:line="480" w:lineRule="exact"/>
        <w:rPr>
          <w:rFonts w:ascii="仿宋" w:hAnsi="仿宋" w:eastAsia="仿宋" w:cs="宋体"/>
          <w:sz w:val="24"/>
        </w:rPr>
      </w:pPr>
      <w:r>
        <w:rPr>
          <w:rFonts w:hint="eastAsia" w:ascii="仿宋" w:hAnsi="仿宋" w:eastAsia="仿宋" w:cs="宋体"/>
          <w:sz w:val="24"/>
        </w:rPr>
        <w:t>附：被授权人情况：</w:t>
      </w:r>
    </w:p>
    <w:p>
      <w:pPr>
        <w:spacing w:line="480" w:lineRule="exact"/>
        <w:rPr>
          <w:rFonts w:ascii="仿宋" w:hAnsi="仿宋" w:eastAsia="仿宋" w:cs="宋体"/>
          <w:sz w:val="24"/>
          <w:u w:val="single"/>
        </w:rPr>
      </w:pPr>
      <w:r>
        <w:rPr>
          <w:rFonts w:hint="eastAsia" w:ascii="仿宋" w:hAnsi="仿宋" w:eastAsia="仿宋" w:cs="宋体"/>
          <w:sz w:val="24"/>
        </w:rPr>
        <w:t>姓名：</w:t>
      </w:r>
      <w:r>
        <w:rPr>
          <w:rFonts w:ascii="仿宋" w:hAnsi="仿宋" w:eastAsia="仿宋" w:cs="宋体"/>
          <w:sz w:val="24"/>
          <w:u w:val="single"/>
        </w:rPr>
        <w:t xml:space="preserve">         </w:t>
      </w:r>
      <w:r>
        <w:rPr>
          <w:rFonts w:ascii="仿宋" w:hAnsi="仿宋" w:eastAsia="仿宋" w:cs="宋体"/>
          <w:sz w:val="24"/>
        </w:rPr>
        <w:t xml:space="preserve"> </w:t>
      </w:r>
      <w:r>
        <w:rPr>
          <w:rFonts w:hint="eastAsia" w:ascii="仿宋" w:hAnsi="仿宋" w:eastAsia="仿宋" w:cs="宋体"/>
          <w:sz w:val="24"/>
        </w:rPr>
        <w:t>性别：</w:t>
      </w:r>
      <w:r>
        <w:rPr>
          <w:rFonts w:ascii="仿宋" w:hAnsi="仿宋" w:eastAsia="仿宋" w:cs="宋体"/>
          <w:sz w:val="24"/>
          <w:u w:val="single"/>
        </w:rPr>
        <w:t xml:space="preserve">    </w:t>
      </w:r>
      <w:r>
        <w:rPr>
          <w:rFonts w:hint="eastAsia" w:ascii="仿宋" w:hAnsi="仿宋" w:eastAsia="仿宋" w:cs="宋体"/>
          <w:sz w:val="24"/>
        </w:rPr>
        <w:t>年龄：</w:t>
      </w:r>
      <w:r>
        <w:rPr>
          <w:rFonts w:ascii="仿宋" w:hAnsi="仿宋" w:eastAsia="仿宋" w:cs="宋体"/>
          <w:sz w:val="24"/>
          <w:u w:val="single"/>
        </w:rPr>
        <w:t xml:space="preserve">      </w:t>
      </w:r>
      <w:r>
        <w:rPr>
          <w:rFonts w:hint="eastAsia" w:ascii="仿宋" w:hAnsi="仿宋" w:eastAsia="仿宋" w:cs="宋体"/>
          <w:sz w:val="24"/>
        </w:rPr>
        <w:t>职务：</w:t>
      </w:r>
      <w:r>
        <w:rPr>
          <w:rFonts w:ascii="仿宋" w:hAnsi="仿宋" w:eastAsia="仿宋" w:cs="宋体"/>
          <w:sz w:val="24"/>
          <w:u w:val="single"/>
        </w:rPr>
        <w:t xml:space="preserve">          </w:t>
      </w:r>
    </w:p>
    <w:p>
      <w:pPr>
        <w:spacing w:line="480" w:lineRule="exact"/>
        <w:rPr>
          <w:rFonts w:ascii="仿宋" w:hAnsi="仿宋" w:eastAsia="仿宋" w:cs="宋体"/>
          <w:sz w:val="24"/>
        </w:rPr>
      </w:pPr>
      <w:r>
        <w:rPr>
          <w:rFonts w:hint="eastAsia" w:ascii="仿宋" w:hAnsi="仿宋" w:eastAsia="仿宋" w:cs="宋体"/>
          <w:sz w:val="24"/>
        </w:rPr>
        <w:t>身份证号码：</w:t>
      </w:r>
      <w:r>
        <w:rPr>
          <w:rFonts w:ascii="仿宋" w:hAnsi="仿宋" w:eastAsia="仿宋" w:cs="宋体"/>
          <w:sz w:val="24"/>
          <w:u w:val="single"/>
        </w:rPr>
        <w:t xml:space="preserve">                                          </w:t>
      </w:r>
    </w:p>
    <w:p>
      <w:pPr>
        <w:spacing w:line="480" w:lineRule="exact"/>
        <w:rPr>
          <w:rFonts w:ascii="仿宋" w:hAnsi="仿宋" w:eastAsia="仿宋" w:cs="宋体"/>
          <w:sz w:val="24"/>
        </w:rPr>
      </w:pPr>
      <w:r>
        <w:rPr>
          <w:rFonts w:hint="eastAsia" w:ascii="仿宋" w:hAnsi="仿宋" w:eastAsia="仿宋" w:cs="宋体"/>
          <w:sz w:val="24"/>
        </w:rPr>
        <w:t>手机：</w:t>
      </w:r>
      <w:r>
        <w:rPr>
          <w:rFonts w:ascii="仿宋" w:hAnsi="仿宋" w:eastAsia="仿宋" w:cs="宋体"/>
          <w:sz w:val="24"/>
          <w:u w:val="single"/>
        </w:rPr>
        <w:t xml:space="preserve">                 </w:t>
      </w:r>
      <w:r>
        <w:rPr>
          <w:rFonts w:hint="eastAsia" w:ascii="仿宋" w:hAnsi="仿宋" w:eastAsia="仿宋" w:cs="宋体"/>
          <w:sz w:val="24"/>
        </w:rPr>
        <w:t>传真：</w:t>
      </w:r>
      <w:r>
        <w:rPr>
          <w:rFonts w:ascii="仿宋" w:hAnsi="仿宋" w:eastAsia="仿宋" w:cs="宋体"/>
          <w:sz w:val="24"/>
          <w:u w:val="single"/>
        </w:rPr>
        <w:t xml:space="preserve">                        </w:t>
      </w:r>
      <w:r>
        <w:rPr>
          <w:rFonts w:ascii="仿宋" w:hAnsi="仿宋" w:eastAsia="仿宋" w:cs="宋体"/>
          <w:sz w:val="24"/>
        </w:rPr>
        <w:t xml:space="preserve"> </w:t>
      </w:r>
    </w:p>
    <w:p>
      <w:pPr>
        <w:spacing w:line="480" w:lineRule="exact"/>
        <w:rPr>
          <w:rFonts w:ascii="仿宋" w:hAnsi="仿宋" w:eastAsia="仿宋" w:cs="宋体"/>
          <w:sz w:val="24"/>
        </w:rPr>
      </w:pPr>
      <w:r>
        <w:rPr>
          <w:rFonts w:hint="eastAsia" w:ascii="仿宋" w:hAnsi="仿宋" w:eastAsia="仿宋" w:cs="宋体"/>
          <w:sz w:val="24"/>
        </w:rPr>
        <w:t>单位名称（公章）</w:t>
      </w:r>
      <w:r>
        <w:rPr>
          <w:rFonts w:ascii="仿宋" w:hAnsi="仿宋" w:eastAsia="仿宋" w:cs="宋体"/>
          <w:sz w:val="24"/>
        </w:rPr>
        <w:t xml:space="preserve">              </w:t>
      </w:r>
      <w:r>
        <w:rPr>
          <w:rFonts w:hint="eastAsia" w:ascii="仿宋" w:hAnsi="仿宋" w:eastAsia="仿宋" w:cs="宋体"/>
          <w:sz w:val="24"/>
        </w:rPr>
        <w:t>法定代表人（签字或盖章）</w:t>
      </w:r>
    </w:p>
    <w:p>
      <w:pPr>
        <w:spacing w:line="480" w:lineRule="exact"/>
        <w:ind w:firstLine="1200" w:firstLineChars="500"/>
        <w:rPr>
          <w:rFonts w:ascii="仿宋" w:hAnsi="仿宋" w:eastAsia="仿宋" w:cs="宋体"/>
          <w:sz w:val="24"/>
        </w:rPr>
      </w:pPr>
      <w:r>
        <w:rPr>
          <w:rFonts w:hint="eastAsia" w:ascii="仿宋" w:hAnsi="仿宋" w:eastAsia="仿宋" w:cs="宋体"/>
          <w:sz w:val="24"/>
        </w:rPr>
        <w:t>年</w:t>
      </w:r>
      <w:r>
        <w:rPr>
          <w:rFonts w:ascii="仿宋" w:hAnsi="仿宋" w:eastAsia="仿宋" w:cs="宋体"/>
          <w:sz w:val="24"/>
        </w:rPr>
        <w:t xml:space="preserve">   </w:t>
      </w:r>
      <w:r>
        <w:rPr>
          <w:rFonts w:hint="eastAsia" w:ascii="仿宋" w:hAnsi="仿宋" w:eastAsia="仿宋" w:cs="宋体"/>
          <w:sz w:val="24"/>
        </w:rPr>
        <w:t>月</w:t>
      </w:r>
      <w:r>
        <w:rPr>
          <w:rFonts w:ascii="仿宋" w:hAnsi="仿宋" w:eastAsia="仿宋" w:cs="宋体"/>
          <w:sz w:val="24"/>
        </w:rPr>
        <w:t xml:space="preserve">   </w:t>
      </w:r>
      <w:r>
        <w:rPr>
          <w:rFonts w:hint="eastAsia" w:ascii="仿宋" w:hAnsi="仿宋" w:eastAsia="仿宋" w:cs="宋体"/>
          <w:sz w:val="24"/>
        </w:rPr>
        <w:t>日</w:t>
      </w:r>
      <w:r>
        <w:rPr>
          <w:rFonts w:ascii="仿宋" w:hAnsi="仿宋" w:eastAsia="仿宋" w:cs="宋体"/>
          <w:sz w:val="24"/>
        </w:rPr>
        <w:t xml:space="preserve">                 </w:t>
      </w:r>
      <w:r>
        <w:rPr>
          <w:rFonts w:hint="eastAsia" w:ascii="仿宋" w:hAnsi="仿宋" w:eastAsia="仿宋" w:cs="宋体"/>
          <w:sz w:val="24"/>
        </w:rPr>
        <w:t>年</w:t>
      </w:r>
      <w:r>
        <w:rPr>
          <w:rFonts w:ascii="仿宋" w:hAnsi="仿宋" w:eastAsia="仿宋" w:cs="宋体"/>
          <w:sz w:val="24"/>
        </w:rPr>
        <w:t xml:space="preserve">   </w:t>
      </w:r>
      <w:r>
        <w:rPr>
          <w:rFonts w:hint="eastAsia" w:ascii="仿宋" w:hAnsi="仿宋" w:eastAsia="仿宋" w:cs="宋体"/>
          <w:sz w:val="24"/>
        </w:rPr>
        <w:t>月</w:t>
      </w:r>
      <w:r>
        <w:rPr>
          <w:rFonts w:ascii="仿宋" w:hAnsi="仿宋" w:eastAsia="仿宋" w:cs="宋体"/>
          <w:sz w:val="24"/>
        </w:rPr>
        <w:t xml:space="preserve">    </w:t>
      </w:r>
      <w:r>
        <w:rPr>
          <w:rFonts w:hint="eastAsia" w:ascii="仿宋" w:hAnsi="仿宋" w:eastAsia="仿宋" w:cs="宋体"/>
          <w:sz w:val="24"/>
        </w:rPr>
        <w:t>日</w:t>
      </w:r>
      <w:r>
        <w:rPr>
          <w:rFonts w:ascii="仿宋" w:hAnsi="仿宋" w:eastAsia="仿宋" w:cs="宋体"/>
          <w:sz w:val="24"/>
        </w:rPr>
        <w:t xml:space="preserve">  </w:t>
      </w:r>
    </w:p>
    <w:p>
      <w:pPr>
        <w:spacing w:line="480" w:lineRule="exact"/>
        <w:rPr>
          <w:rFonts w:ascii="仿宋" w:hAnsi="仿宋" w:eastAsia="仿宋" w:cs="宋体"/>
          <w:sz w:val="24"/>
        </w:rPr>
      </w:pPr>
    </w:p>
    <w:p>
      <w:pPr>
        <w:spacing w:line="480" w:lineRule="exact"/>
        <w:rPr>
          <w:rFonts w:ascii="仿宋" w:hAnsi="仿宋" w:eastAsia="仿宋" w:cs="宋体"/>
          <w:sz w:val="24"/>
        </w:rPr>
      </w:pPr>
    </w:p>
    <w:p>
      <w:pPr>
        <w:spacing w:line="480" w:lineRule="exact"/>
        <w:rPr>
          <w:rFonts w:ascii="仿宋" w:hAnsi="仿宋" w:eastAsia="仿宋" w:cs="宋体"/>
          <w:sz w:val="24"/>
        </w:rPr>
      </w:pPr>
    </w:p>
    <w:p>
      <w:pPr>
        <w:spacing w:line="480" w:lineRule="exact"/>
        <w:rPr>
          <w:rFonts w:ascii="仿宋" w:hAnsi="仿宋" w:eastAsia="仿宋" w:cs="宋体"/>
          <w:sz w:val="24"/>
        </w:rPr>
      </w:pPr>
    </w:p>
    <w:p>
      <w:pPr>
        <w:spacing w:line="480" w:lineRule="exact"/>
        <w:rPr>
          <w:rFonts w:ascii="仿宋" w:hAnsi="仿宋" w:eastAsia="仿宋" w:cs="宋体"/>
          <w:sz w:val="24"/>
        </w:rPr>
      </w:pPr>
      <w:r>
        <w:rPr>
          <w:rFonts w:hint="eastAsia" w:ascii="仿宋" w:hAnsi="仿宋" w:eastAsia="仿宋" w:cs="宋体"/>
          <w:sz w:val="24"/>
        </w:rPr>
        <w:t>被授权人身份证复印件</w:t>
      </w:r>
    </w:p>
    <w:p>
      <w:pPr>
        <w:spacing w:line="480" w:lineRule="exact"/>
        <w:rPr>
          <w:rFonts w:ascii="仿宋" w:hAnsi="仿宋" w:eastAsia="仿宋" w:cs="宋体"/>
          <w:sz w:val="24"/>
        </w:rPr>
      </w:pPr>
    </w:p>
    <w:p>
      <w:pPr>
        <w:spacing w:line="480" w:lineRule="exact"/>
        <w:ind w:firstLine="2280" w:firstLineChars="950"/>
        <w:rPr>
          <w:rFonts w:ascii="仿宋" w:hAnsi="仿宋" w:eastAsia="仿宋" w:cs="宋体"/>
          <w:b/>
          <w:bCs/>
          <w:sz w:val="24"/>
        </w:rPr>
      </w:pPr>
      <w:r>
        <w:rPr>
          <w:rFonts w:hint="eastAsia" w:ascii="仿宋" w:hAnsi="仿宋" w:eastAsia="仿宋" w:cs="宋体"/>
          <w:sz w:val="24"/>
        </w:rPr>
        <w:t>（粘贴此处）</w:t>
      </w:r>
    </w:p>
    <w:p>
      <w:pPr>
        <w:spacing w:line="480" w:lineRule="exact"/>
        <w:ind w:firstLine="482" w:firstLineChars="200"/>
        <w:rPr>
          <w:rFonts w:ascii="仿宋" w:hAnsi="仿宋" w:eastAsia="仿宋" w:cs="宋体"/>
          <w:b/>
          <w:bCs/>
          <w:sz w:val="24"/>
        </w:rPr>
      </w:pPr>
      <w:r>
        <w:rPr>
          <w:rFonts w:hint="eastAsia" w:ascii="仿宋" w:hAnsi="仿宋" w:eastAsia="仿宋" w:cs="宋体"/>
          <w:b/>
          <w:bCs/>
          <w:sz w:val="24"/>
        </w:rPr>
        <w:t>注</w:t>
      </w:r>
      <w:r>
        <w:rPr>
          <w:rFonts w:ascii="仿宋" w:hAnsi="仿宋" w:eastAsia="仿宋" w:cs="宋体"/>
          <w:b/>
          <w:bCs/>
          <w:sz w:val="24"/>
        </w:rPr>
        <w:t>:</w:t>
      </w:r>
      <w:r>
        <w:rPr>
          <w:rFonts w:hint="eastAsia" w:ascii="仿宋" w:hAnsi="仿宋" w:eastAsia="仿宋" w:cs="宋体"/>
          <w:b/>
          <w:bCs/>
          <w:sz w:val="24"/>
        </w:rPr>
        <w:t>参加招标时被授权人将身份证原件带至现场备查。</w:t>
      </w:r>
    </w:p>
    <w:p>
      <w:pPr>
        <w:spacing w:line="480" w:lineRule="exact"/>
        <w:ind w:firstLine="482" w:firstLineChars="200"/>
        <w:rPr>
          <w:rFonts w:ascii="仿宋" w:hAnsi="仿宋" w:eastAsia="仿宋" w:cs="宋体"/>
          <w:b/>
          <w:bCs/>
          <w:sz w:val="24"/>
        </w:rPr>
      </w:pPr>
    </w:p>
    <w:p>
      <w:pPr>
        <w:spacing w:line="480" w:lineRule="exact"/>
        <w:ind w:firstLine="482" w:firstLineChars="200"/>
        <w:rPr>
          <w:rFonts w:ascii="仿宋" w:hAnsi="仿宋" w:eastAsia="仿宋" w:cs="宋体"/>
          <w:b/>
          <w:bCs/>
          <w:sz w:val="24"/>
        </w:rPr>
      </w:pPr>
    </w:p>
    <w:p>
      <w:pPr>
        <w:spacing w:line="480" w:lineRule="exact"/>
        <w:ind w:firstLine="482" w:firstLineChars="200"/>
        <w:rPr>
          <w:rFonts w:ascii="仿宋" w:hAnsi="仿宋" w:eastAsia="仿宋" w:cs="宋体"/>
          <w:b/>
          <w:bCs/>
          <w:sz w:val="24"/>
        </w:rPr>
      </w:pPr>
    </w:p>
    <w:p>
      <w:pPr>
        <w:spacing w:line="480" w:lineRule="exact"/>
        <w:rPr>
          <w:rFonts w:ascii="仿宋" w:hAnsi="仿宋" w:eastAsia="仿宋" w:cs="宋体"/>
          <w:b/>
          <w:color w:val="000000"/>
          <w:sz w:val="28"/>
          <w:szCs w:val="28"/>
        </w:rPr>
      </w:pPr>
    </w:p>
    <w:p>
      <w:pPr>
        <w:snapToGrid w:val="0"/>
        <w:spacing w:line="520" w:lineRule="exact"/>
        <w:jc w:val="center"/>
        <w:outlineLvl w:val="3"/>
        <w:rPr>
          <w:rFonts w:ascii="仿宋" w:hAnsi="仿宋" w:eastAsia="仿宋" w:cs="宋体"/>
          <w:b/>
          <w:sz w:val="28"/>
          <w:szCs w:val="28"/>
        </w:rPr>
      </w:pPr>
      <w:r>
        <w:rPr>
          <w:rFonts w:hint="eastAsia" w:ascii="仿宋" w:hAnsi="仿宋" w:eastAsia="仿宋" w:cs="宋体"/>
          <w:b/>
          <w:sz w:val="28"/>
          <w:szCs w:val="28"/>
        </w:rPr>
        <w:t>二、投标响应函（格式不得变动）</w:t>
      </w:r>
    </w:p>
    <w:p>
      <w:pPr>
        <w:overflowPunct w:val="0"/>
        <w:adjustRightInd w:val="0"/>
        <w:spacing w:line="520" w:lineRule="exact"/>
        <w:jc w:val="left"/>
        <w:textAlignment w:val="baseline"/>
        <w:rPr>
          <w:rFonts w:ascii="仿宋" w:hAnsi="仿宋" w:eastAsia="仿宋"/>
          <w:color w:val="000000"/>
          <w:sz w:val="24"/>
          <w:u w:val="single"/>
        </w:rPr>
      </w:pPr>
      <w:r>
        <w:rPr>
          <w:rFonts w:hint="eastAsia" w:ascii="仿宋" w:hAnsi="仿宋" w:eastAsia="仿宋" w:cs="宋体"/>
          <w:b/>
          <w:sz w:val="24"/>
          <w:u w:val="single"/>
        </w:rPr>
        <w:t>南通市阳光养老产业集团有限公司</w:t>
      </w:r>
      <w:r>
        <w:rPr>
          <w:rFonts w:hint="eastAsia" w:ascii="仿宋" w:hAnsi="仿宋" w:eastAsia="仿宋" w:cs="仿宋_GB2312"/>
          <w:color w:val="000000"/>
          <w:sz w:val="24"/>
          <w:u w:val="single"/>
        </w:rPr>
        <w:t>：</w:t>
      </w:r>
    </w:p>
    <w:p>
      <w:pPr>
        <w:snapToGrid w:val="0"/>
        <w:spacing w:line="520" w:lineRule="exact"/>
        <w:ind w:firstLine="480" w:firstLineChars="200"/>
        <w:rPr>
          <w:rFonts w:ascii="仿宋" w:hAnsi="仿宋" w:eastAsia="仿宋"/>
          <w:sz w:val="24"/>
        </w:rPr>
      </w:pPr>
      <w:r>
        <w:rPr>
          <w:rFonts w:hint="eastAsia" w:ascii="仿宋" w:hAnsi="仿宋" w:eastAsia="仿宋" w:cs="仿宋_GB2312"/>
          <w:sz w:val="24"/>
        </w:rPr>
        <w:t>依据贵单位组织的</w:t>
      </w:r>
      <w:r>
        <w:rPr>
          <w:rFonts w:hint="eastAsia" w:ascii="仿宋" w:hAnsi="仿宋" w:eastAsia="仿宋" w:cs="仿宋_GB2312"/>
          <w:sz w:val="24"/>
          <w:u w:val="single"/>
        </w:rPr>
        <w:t>（</w:t>
      </w:r>
      <w:r>
        <w:rPr>
          <w:rFonts w:hint="eastAsia" w:ascii="仿宋" w:hAnsi="仿宋" w:eastAsia="仿宋" w:cs="宋体"/>
          <w:sz w:val="24"/>
          <w:u w:val="single"/>
        </w:rPr>
        <w:t>招标</w:t>
      </w:r>
      <w:r>
        <w:rPr>
          <w:rFonts w:hint="eastAsia" w:ascii="仿宋" w:hAnsi="仿宋" w:eastAsia="仿宋" w:cs="仿宋_GB2312"/>
          <w:sz w:val="24"/>
          <w:u w:val="single"/>
        </w:rPr>
        <w:t>项目名称及项目编号</w:t>
      </w:r>
      <w:r>
        <w:rPr>
          <w:rFonts w:ascii="仿宋" w:hAnsi="仿宋" w:eastAsia="仿宋" w:cs="仿宋_GB2312"/>
          <w:sz w:val="24"/>
          <w:u w:val="single"/>
        </w:rPr>
        <w:t>)</w:t>
      </w:r>
      <w:r>
        <w:rPr>
          <w:rFonts w:hint="eastAsia" w:ascii="仿宋" w:hAnsi="仿宋" w:eastAsia="仿宋" w:cs="仿宋_GB2312"/>
          <w:sz w:val="24"/>
        </w:rPr>
        <w:t>项目的邀请，我方授权</w:t>
      </w:r>
      <w:r>
        <w:rPr>
          <w:rFonts w:hint="eastAsia" w:ascii="仿宋" w:hAnsi="仿宋" w:eastAsia="仿宋" w:cs="仿宋_GB2312"/>
          <w:sz w:val="24"/>
          <w:u w:val="single"/>
        </w:rPr>
        <w:t>（姓名）（职务）</w:t>
      </w:r>
      <w:r>
        <w:rPr>
          <w:rFonts w:hint="eastAsia" w:ascii="仿宋" w:hAnsi="仿宋" w:eastAsia="仿宋" w:cs="仿宋_GB2312"/>
          <w:sz w:val="24"/>
        </w:rPr>
        <w:t>为全权代表参加该项目的</w:t>
      </w:r>
      <w:r>
        <w:rPr>
          <w:rFonts w:hint="eastAsia" w:ascii="仿宋" w:hAnsi="仿宋" w:eastAsia="仿宋" w:cs="宋体"/>
          <w:sz w:val="24"/>
        </w:rPr>
        <w:t>招标</w:t>
      </w:r>
      <w:r>
        <w:rPr>
          <w:rFonts w:hint="eastAsia" w:ascii="仿宋" w:hAnsi="仿宋" w:eastAsia="仿宋" w:cs="仿宋_GB2312"/>
          <w:sz w:val="24"/>
        </w:rPr>
        <w:t>工作，全权处理本次</w:t>
      </w:r>
      <w:r>
        <w:rPr>
          <w:rFonts w:hint="eastAsia" w:ascii="仿宋" w:hAnsi="仿宋" w:eastAsia="仿宋" w:cs="宋体"/>
          <w:sz w:val="24"/>
        </w:rPr>
        <w:t>招标</w:t>
      </w:r>
      <w:r>
        <w:rPr>
          <w:rFonts w:hint="eastAsia" w:ascii="仿宋" w:hAnsi="仿宋" w:eastAsia="仿宋" w:cs="仿宋_GB2312"/>
          <w:sz w:val="24"/>
        </w:rPr>
        <w:t>的有关事宜。同时，我公司声明如下：</w:t>
      </w:r>
    </w:p>
    <w:p>
      <w:pPr>
        <w:snapToGrid w:val="0"/>
        <w:spacing w:line="520" w:lineRule="exact"/>
        <w:ind w:firstLine="480" w:firstLineChars="200"/>
        <w:rPr>
          <w:rFonts w:ascii="仿宋" w:hAnsi="仿宋" w:eastAsia="仿宋"/>
          <w:sz w:val="24"/>
        </w:rPr>
      </w:pPr>
      <w:r>
        <w:rPr>
          <w:rFonts w:ascii="仿宋" w:hAnsi="仿宋" w:eastAsia="仿宋" w:cs="仿宋_GB2312"/>
          <w:sz w:val="24"/>
        </w:rPr>
        <w:t>1</w:t>
      </w:r>
      <w:r>
        <w:rPr>
          <w:rFonts w:hint="eastAsia" w:ascii="仿宋" w:hAnsi="仿宋" w:eastAsia="仿宋" w:cs="仿宋_GB2312"/>
          <w:sz w:val="24"/>
        </w:rPr>
        <w:t>、同意并接受</w:t>
      </w:r>
      <w:r>
        <w:rPr>
          <w:rFonts w:hint="eastAsia" w:ascii="仿宋" w:hAnsi="仿宋" w:eastAsia="仿宋" w:cs="宋体"/>
          <w:sz w:val="24"/>
        </w:rPr>
        <w:t>招标</w:t>
      </w:r>
      <w:r>
        <w:rPr>
          <w:rFonts w:hint="eastAsia" w:ascii="仿宋" w:hAnsi="仿宋" w:eastAsia="仿宋" w:cs="仿宋_GB2312"/>
          <w:sz w:val="24"/>
        </w:rPr>
        <w:t>文件的各项要求，遵守</w:t>
      </w:r>
      <w:r>
        <w:rPr>
          <w:rFonts w:hint="eastAsia" w:ascii="仿宋" w:hAnsi="仿宋" w:eastAsia="仿宋" w:cs="宋体"/>
          <w:sz w:val="24"/>
        </w:rPr>
        <w:t>招标</w:t>
      </w:r>
      <w:r>
        <w:rPr>
          <w:rFonts w:hint="eastAsia" w:ascii="仿宋" w:hAnsi="仿宋" w:eastAsia="仿宋" w:cs="仿宋_GB2312"/>
          <w:sz w:val="24"/>
        </w:rPr>
        <w:t>文件中的各项规定，按</w:t>
      </w:r>
      <w:r>
        <w:rPr>
          <w:rFonts w:hint="eastAsia" w:ascii="仿宋" w:hAnsi="仿宋" w:eastAsia="仿宋" w:cs="宋体"/>
          <w:sz w:val="24"/>
        </w:rPr>
        <w:t>招标</w:t>
      </w:r>
      <w:r>
        <w:rPr>
          <w:rFonts w:hint="eastAsia" w:ascii="仿宋" w:hAnsi="仿宋" w:eastAsia="仿宋" w:cs="仿宋_GB2312"/>
          <w:sz w:val="24"/>
        </w:rPr>
        <w:t>文件的要求提供报价。</w:t>
      </w:r>
    </w:p>
    <w:p>
      <w:pPr>
        <w:snapToGrid w:val="0"/>
        <w:spacing w:line="520" w:lineRule="exact"/>
        <w:ind w:firstLine="480" w:firstLineChars="200"/>
        <w:rPr>
          <w:rFonts w:ascii="仿宋" w:hAnsi="仿宋" w:eastAsia="仿宋"/>
          <w:sz w:val="24"/>
        </w:rPr>
      </w:pPr>
      <w:r>
        <w:rPr>
          <w:rFonts w:ascii="仿宋" w:hAnsi="仿宋" w:eastAsia="仿宋" w:cs="仿宋_GB2312"/>
          <w:sz w:val="24"/>
        </w:rPr>
        <w:t>2</w:t>
      </w:r>
      <w:r>
        <w:rPr>
          <w:rFonts w:hint="eastAsia" w:ascii="仿宋" w:hAnsi="仿宋" w:eastAsia="仿宋" w:cs="仿宋_GB2312"/>
          <w:sz w:val="24"/>
        </w:rPr>
        <w:t>、我公司已经详细阅读了</w:t>
      </w:r>
      <w:r>
        <w:rPr>
          <w:rFonts w:hint="eastAsia" w:ascii="仿宋" w:hAnsi="仿宋" w:eastAsia="仿宋" w:cs="宋体"/>
          <w:sz w:val="24"/>
        </w:rPr>
        <w:t>招标</w:t>
      </w:r>
      <w:r>
        <w:rPr>
          <w:rFonts w:hint="eastAsia" w:ascii="仿宋" w:hAnsi="仿宋" w:eastAsia="仿宋" w:cs="仿宋_GB2312"/>
          <w:sz w:val="24"/>
        </w:rPr>
        <w:t>文件的全部内容，我方已完全清晰理解</w:t>
      </w:r>
      <w:r>
        <w:rPr>
          <w:rFonts w:hint="eastAsia" w:ascii="仿宋" w:hAnsi="仿宋" w:eastAsia="仿宋" w:cs="宋体"/>
          <w:sz w:val="24"/>
        </w:rPr>
        <w:t>招标</w:t>
      </w:r>
      <w:r>
        <w:rPr>
          <w:rFonts w:hint="eastAsia" w:ascii="仿宋" w:hAnsi="仿宋" w:eastAsia="仿宋" w:cs="仿宋_GB2312"/>
          <w:sz w:val="24"/>
        </w:rPr>
        <w:t>文件的要求，不存在任何含糊不清和误解之处，同意放弃对</w:t>
      </w:r>
      <w:r>
        <w:rPr>
          <w:rFonts w:hint="eastAsia" w:ascii="仿宋" w:hAnsi="仿宋" w:eastAsia="仿宋" w:cs="宋体"/>
          <w:sz w:val="24"/>
        </w:rPr>
        <w:t>招标</w:t>
      </w:r>
      <w:r>
        <w:rPr>
          <w:rFonts w:hint="eastAsia" w:ascii="仿宋" w:hAnsi="仿宋" w:eastAsia="仿宋" w:cs="仿宋_GB2312"/>
          <w:sz w:val="24"/>
        </w:rPr>
        <w:t>文件所表述的内容提出异议和质疑的权利。</w:t>
      </w:r>
    </w:p>
    <w:p>
      <w:pPr>
        <w:snapToGrid w:val="0"/>
        <w:spacing w:line="520" w:lineRule="exact"/>
        <w:ind w:firstLine="480" w:firstLineChars="200"/>
        <w:rPr>
          <w:rFonts w:ascii="仿宋" w:hAnsi="仿宋" w:eastAsia="仿宋"/>
          <w:sz w:val="24"/>
        </w:rPr>
      </w:pPr>
      <w:r>
        <w:rPr>
          <w:rFonts w:ascii="仿宋" w:hAnsi="仿宋" w:eastAsia="仿宋" w:cs="仿宋_GB2312"/>
          <w:sz w:val="24"/>
        </w:rPr>
        <w:t>3</w:t>
      </w:r>
      <w:r>
        <w:rPr>
          <w:rFonts w:hint="eastAsia" w:ascii="仿宋" w:hAnsi="仿宋" w:eastAsia="仿宋" w:cs="仿宋_GB2312"/>
          <w:sz w:val="24"/>
        </w:rPr>
        <w:t>、我公司已毫无保留地向贵方提供一切所需的证明材料。</w:t>
      </w:r>
    </w:p>
    <w:p>
      <w:pPr>
        <w:snapToGrid w:val="0"/>
        <w:spacing w:line="520" w:lineRule="exact"/>
        <w:ind w:firstLine="480" w:firstLineChars="200"/>
        <w:rPr>
          <w:rFonts w:ascii="仿宋" w:hAnsi="仿宋" w:eastAsia="仿宋"/>
          <w:sz w:val="24"/>
        </w:rPr>
      </w:pPr>
      <w:r>
        <w:rPr>
          <w:rFonts w:ascii="仿宋" w:hAnsi="仿宋" w:eastAsia="仿宋" w:cs="仿宋_GB2312"/>
          <w:sz w:val="24"/>
        </w:rPr>
        <w:t>4</w:t>
      </w:r>
      <w:r>
        <w:rPr>
          <w:rFonts w:hint="eastAsia" w:ascii="仿宋" w:hAnsi="仿宋" w:eastAsia="仿宋" w:cs="仿宋_GB2312"/>
          <w:sz w:val="24"/>
        </w:rPr>
        <w:t>、我公司承诺在本次</w:t>
      </w:r>
      <w:r>
        <w:rPr>
          <w:rFonts w:hint="eastAsia" w:ascii="仿宋" w:hAnsi="仿宋" w:eastAsia="仿宋" w:cs="宋体"/>
          <w:sz w:val="24"/>
        </w:rPr>
        <w:t>投标</w:t>
      </w:r>
      <w:r>
        <w:rPr>
          <w:rFonts w:hint="eastAsia" w:ascii="仿宋" w:hAnsi="仿宋" w:eastAsia="仿宋" w:cs="仿宋_GB2312"/>
          <w:sz w:val="24"/>
        </w:rPr>
        <w:t>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仿宋" w:hAnsi="仿宋" w:eastAsia="仿宋"/>
          <w:b/>
          <w:bCs/>
          <w:sz w:val="24"/>
        </w:rPr>
      </w:pPr>
      <w:r>
        <w:rPr>
          <w:rFonts w:ascii="仿宋" w:hAnsi="仿宋" w:eastAsia="仿宋" w:cs="仿宋_GB2312"/>
          <w:sz w:val="24"/>
        </w:rPr>
        <w:t>5</w:t>
      </w:r>
      <w:r>
        <w:rPr>
          <w:rFonts w:hint="eastAsia" w:ascii="仿宋" w:hAnsi="仿宋" w:eastAsia="仿宋" w:cs="仿宋_GB2312"/>
          <w:sz w:val="24"/>
        </w:rPr>
        <w:t>、</w:t>
      </w:r>
      <w:r>
        <w:rPr>
          <w:rFonts w:hint="eastAsia" w:ascii="仿宋" w:hAnsi="仿宋" w:eastAsia="仿宋" w:cs="仿宋_GB2312"/>
          <w:b/>
          <w:bCs/>
          <w:sz w:val="24"/>
        </w:rPr>
        <w:t>我公司尊重</w:t>
      </w:r>
      <w:r>
        <w:rPr>
          <w:rFonts w:hint="eastAsia" w:ascii="仿宋" w:hAnsi="仿宋" w:eastAsia="仿宋" w:cs="宋体"/>
          <w:b/>
          <w:sz w:val="24"/>
        </w:rPr>
        <w:t>招标</w:t>
      </w:r>
      <w:r>
        <w:rPr>
          <w:rFonts w:hint="eastAsia" w:ascii="仿宋" w:hAnsi="仿宋" w:eastAsia="仿宋" w:cs="仿宋_GB2312"/>
          <w:b/>
          <w:bCs/>
          <w:sz w:val="24"/>
        </w:rPr>
        <w:t>小组所作的评定结果，同时清楚理解到报价最低并非意味着必定获得成交资格。</w:t>
      </w:r>
    </w:p>
    <w:p>
      <w:pPr>
        <w:snapToGrid w:val="0"/>
        <w:spacing w:line="520" w:lineRule="exact"/>
        <w:ind w:firstLine="482" w:firstLineChars="200"/>
        <w:rPr>
          <w:rFonts w:ascii="仿宋" w:hAnsi="仿宋" w:eastAsia="仿宋"/>
          <w:color w:val="000000"/>
          <w:sz w:val="24"/>
        </w:rPr>
      </w:pPr>
      <w:r>
        <w:rPr>
          <w:rFonts w:ascii="仿宋" w:hAnsi="仿宋" w:eastAsia="仿宋" w:cs="仿宋_GB2312"/>
          <w:b/>
          <w:bCs/>
          <w:color w:val="000000"/>
          <w:sz w:val="24"/>
        </w:rPr>
        <w:t>6</w:t>
      </w:r>
      <w:r>
        <w:rPr>
          <w:rFonts w:hint="eastAsia" w:ascii="仿宋" w:hAnsi="仿宋" w:eastAsia="仿宋" w:cs="仿宋_GB2312"/>
          <w:b/>
          <w:bCs/>
          <w:color w:val="000000"/>
          <w:sz w:val="24"/>
        </w:rPr>
        <w:t>、我公司承诺响应</w:t>
      </w:r>
      <w:r>
        <w:rPr>
          <w:rFonts w:hint="eastAsia" w:ascii="仿宋" w:hAnsi="仿宋" w:eastAsia="仿宋" w:cs="宋体"/>
          <w:b/>
          <w:sz w:val="24"/>
        </w:rPr>
        <w:t>招标</w:t>
      </w:r>
      <w:r>
        <w:rPr>
          <w:rFonts w:hint="eastAsia" w:ascii="仿宋" w:hAnsi="仿宋" w:eastAsia="仿宋" w:cs="仿宋_GB2312"/>
          <w:b/>
          <w:bCs/>
          <w:color w:val="000000"/>
          <w:sz w:val="24"/>
        </w:rPr>
        <w:t>文件中对佣金采用的结算方式。</w:t>
      </w:r>
    </w:p>
    <w:p>
      <w:pPr>
        <w:snapToGrid w:val="0"/>
        <w:spacing w:line="520" w:lineRule="exact"/>
        <w:ind w:firstLine="480" w:firstLineChars="200"/>
        <w:rPr>
          <w:rFonts w:ascii="仿宋" w:hAnsi="仿宋" w:eastAsia="仿宋"/>
          <w:sz w:val="24"/>
        </w:rPr>
      </w:pPr>
      <w:r>
        <w:rPr>
          <w:rFonts w:ascii="仿宋" w:hAnsi="仿宋" w:eastAsia="仿宋" w:cs="仿宋_GB2312"/>
          <w:sz w:val="24"/>
        </w:rPr>
        <w:t>7</w:t>
      </w:r>
      <w:r>
        <w:rPr>
          <w:rFonts w:hint="eastAsia" w:ascii="仿宋" w:hAnsi="仿宋" w:eastAsia="仿宋" w:cs="仿宋_GB2312"/>
          <w:sz w:val="24"/>
        </w:rPr>
        <w:t>、一旦成交，我方承诺无正当理由拒绝签订合同，将被贵方取消成交资格。</w:t>
      </w:r>
      <w:r>
        <w:rPr>
          <w:rFonts w:ascii="仿宋" w:hAnsi="仿宋" w:eastAsia="仿宋"/>
          <w:sz w:val="24"/>
        </w:rPr>
        <w:t xml:space="preserve"> </w:t>
      </w:r>
    </w:p>
    <w:p>
      <w:pPr>
        <w:snapToGrid w:val="0"/>
        <w:spacing w:line="520" w:lineRule="exact"/>
        <w:ind w:firstLine="480" w:firstLineChars="200"/>
        <w:rPr>
          <w:rFonts w:ascii="仿宋" w:hAnsi="仿宋" w:eastAsia="仿宋"/>
          <w:sz w:val="24"/>
        </w:rPr>
      </w:pPr>
      <w:r>
        <w:rPr>
          <w:rFonts w:ascii="仿宋" w:hAnsi="仿宋" w:eastAsia="仿宋" w:cs="仿宋_GB2312"/>
          <w:sz w:val="24"/>
        </w:rPr>
        <w:t>8</w:t>
      </w:r>
      <w:r>
        <w:rPr>
          <w:rFonts w:hint="eastAsia" w:ascii="仿宋" w:hAnsi="仿宋" w:eastAsia="仿宋" w:cs="仿宋_GB2312"/>
          <w:sz w:val="24"/>
        </w:rPr>
        <w:t>、</w:t>
      </w:r>
      <w:r>
        <w:rPr>
          <w:rFonts w:hint="eastAsia" w:ascii="仿宋" w:hAnsi="仿宋" w:eastAsia="仿宋" w:cs="仿宋_GB2312"/>
          <w:b/>
          <w:bCs/>
          <w:sz w:val="24"/>
        </w:rPr>
        <w:t>一旦成交，我方将根据</w:t>
      </w:r>
      <w:r>
        <w:rPr>
          <w:rFonts w:hint="eastAsia" w:ascii="仿宋" w:hAnsi="仿宋" w:eastAsia="仿宋" w:cs="宋体"/>
          <w:b/>
          <w:sz w:val="24"/>
        </w:rPr>
        <w:t>招标</w:t>
      </w:r>
      <w:r>
        <w:rPr>
          <w:rFonts w:hint="eastAsia" w:ascii="仿宋" w:hAnsi="仿宋" w:eastAsia="仿宋" w:cs="仿宋_GB2312"/>
          <w:b/>
          <w:bCs/>
          <w:sz w:val="24"/>
        </w:rPr>
        <w:t>文件的规定，严格履行合同规定的责任和义务，并保证在</w:t>
      </w:r>
      <w:r>
        <w:rPr>
          <w:rFonts w:hint="eastAsia" w:ascii="仿宋" w:hAnsi="仿宋" w:eastAsia="仿宋" w:cs="宋体"/>
          <w:b/>
          <w:sz w:val="24"/>
        </w:rPr>
        <w:t>招标</w:t>
      </w:r>
      <w:r>
        <w:rPr>
          <w:rFonts w:hint="eastAsia" w:ascii="仿宋" w:hAnsi="仿宋" w:eastAsia="仿宋" w:cs="仿宋_GB2312"/>
          <w:b/>
          <w:bCs/>
          <w:sz w:val="24"/>
        </w:rPr>
        <w:t>文件中规定的时间期限内完成合同项目。</w:t>
      </w:r>
    </w:p>
    <w:p>
      <w:pPr>
        <w:snapToGrid w:val="0"/>
        <w:spacing w:line="520" w:lineRule="exact"/>
        <w:jc w:val="right"/>
        <w:rPr>
          <w:rFonts w:ascii="仿宋" w:hAnsi="仿宋" w:eastAsia="仿宋"/>
          <w:sz w:val="24"/>
        </w:rPr>
      </w:pPr>
      <w:r>
        <w:rPr>
          <w:rFonts w:hint="eastAsia" w:ascii="仿宋" w:hAnsi="仿宋" w:eastAsia="仿宋" w:cs="仿宋_GB2312"/>
          <w:sz w:val="24"/>
        </w:rPr>
        <w:t>投标响应单位：（加盖公章）</w:t>
      </w:r>
    </w:p>
    <w:p>
      <w:pPr>
        <w:snapToGrid w:val="0"/>
        <w:spacing w:line="520" w:lineRule="exact"/>
        <w:ind w:right="560" w:firstLine="2400" w:firstLineChars="1000"/>
        <w:rPr>
          <w:rFonts w:ascii="仿宋" w:hAnsi="仿宋" w:eastAsia="仿宋"/>
          <w:sz w:val="24"/>
        </w:rPr>
      </w:pPr>
      <w:r>
        <w:rPr>
          <w:rFonts w:hint="eastAsia" w:ascii="仿宋" w:hAnsi="仿宋" w:eastAsia="仿宋" w:cs="仿宋_GB2312"/>
          <w:sz w:val="24"/>
        </w:rPr>
        <w:t>法定代表人或被授权人：（签字或盖章）</w:t>
      </w:r>
    </w:p>
    <w:p>
      <w:pPr>
        <w:spacing w:line="520" w:lineRule="exact"/>
        <w:rPr>
          <w:rFonts w:ascii="仿宋" w:hAnsi="仿宋" w:eastAsia="仿宋" w:cs="宋体"/>
          <w:color w:val="000000"/>
          <w:sz w:val="24"/>
        </w:rPr>
      </w:pPr>
    </w:p>
    <w:p>
      <w:pPr>
        <w:spacing w:line="520" w:lineRule="exact"/>
        <w:rPr>
          <w:rFonts w:ascii="仿宋" w:hAnsi="仿宋" w:eastAsia="仿宋" w:cs="宋体"/>
          <w:color w:val="000000"/>
          <w:sz w:val="28"/>
          <w:szCs w:val="28"/>
        </w:rPr>
      </w:pPr>
    </w:p>
    <w:p>
      <w:pPr>
        <w:spacing w:line="520" w:lineRule="exact"/>
        <w:rPr>
          <w:rFonts w:ascii="仿宋" w:hAnsi="仿宋" w:eastAsia="仿宋" w:cs="宋体"/>
          <w:color w:val="000000"/>
          <w:sz w:val="28"/>
          <w:szCs w:val="28"/>
        </w:rPr>
      </w:pPr>
    </w:p>
    <w:p>
      <w:pPr>
        <w:spacing w:line="520" w:lineRule="exact"/>
        <w:rPr>
          <w:rFonts w:ascii="仿宋" w:hAnsi="仿宋" w:eastAsia="仿宋" w:cs="宋体"/>
          <w:color w:val="000000"/>
          <w:sz w:val="28"/>
          <w:szCs w:val="28"/>
        </w:rPr>
      </w:pPr>
    </w:p>
    <w:p>
      <w:pPr>
        <w:spacing w:line="520" w:lineRule="exact"/>
        <w:rPr>
          <w:rFonts w:ascii="仿宋" w:hAnsi="仿宋" w:eastAsia="仿宋" w:cs="宋体"/>
          <w:color w:val="000000"/>
          <w:sz w:val="28"/>
          <w:szCs w:val="28"/>
        </w:rPr>
      </w:pPr>
    </w:p>
    <w:p>
      <w:pPr>
        <w:spacing w:line="520" w:lineRule="exact"/>
        <w:rPr>
          <w:rFonts w:ascii="仿宋" w:hAnsi="仿宋" w:eastAsia="仿宋" w:cs="宋体"/>
          <w:color w:val="000000"/>
          <w:sz w:val="28"/>
          <w:szCs w:val="28"/>
        </w:rPr>
      </w:pPr>
    </w:p>
    <w:p>
      <w:pPr>
        <w:snapToGrid w:val="0"/>
        <w:spacing w:line="520" w:lineRule="exact"/>
        <w:jc w:val="center"/>
        <w:outlineLvl w:val="3"/>
        <w:rPr>
          <w:rFonts w:ascii="仿宋" w:hAnsi="仿宋" w:eastAsia="仿宋" w:cs="宋体"/>
          <w:b/>
          <w:color w:val="000000"/>
          <w:sz w:val="28"/>
          <w:szCs w:val="28"/>
        </w:rPr>
      </w:pPr>
      <w:r>
        <w:rPr>
          <w:rFonts w:hint="eastAsia" w:ascii="仿宋" w:hAnsi="仿宋" w:eastAsia="仿宋" w:cs="宋体"/>
          <w:b/>
          <w:sz w:val="28"/>
          <w:szCs w:val="28"/>
        </w:rPr>
        <w:t>三、投标响应报价总表</w:t>
      </w:r>
    </w:p>
    <w:p>
      <w:pPr>
        <w:snapToGrid w:val="0"/>
        <w:spacing w:line="520" w:lineRule="exact"/>
        <w:jc w:val="center"/>
        <w:outlineLvl w:val="3"/>
        <w:rPr>
          <w:rFonts w:ascii="仿宋" w:hAnsi="仿宋" w:eastAsia="仿宋" w:cs="宋体"/>
          <w:b/>
          <w:color w:val="FF0000"/>
          <w:sz w:val="28"/>
          <w:szCs w:val="28"/>
        </w:rPr>
      </w:pPr>
    </w:p>
    <w:tbl>
      <w:tblPr>
        <w:tblStyle w:val="16"/>
        <w:tblW w:w="91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90"/>
        <w:gridCol w:w="4678"/>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6" w:hRule="atLeast"/>
          <w:jc w:val="center"/>
        </w:trPr>
        <w:tc>
          <w:tcPr>
            <w:tcW w:w="289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ind w:firstLine="480" w:firstLineChars="200"/>
              <w:rPr>
                <w:rFonts w:ascii="仿宋" w:hAnsi="仿宋" w:eastAsia="仿宋" w:cs="仿宋_GB2312"/>
                <w:sz w:val="24"/>
              </w:rPr>
            </w:pPr>
            <w:r>
              <w:rPr>
                <w:rFonts w:hint="eastAsia" w:ascii="仿宋" w:hAnsi="仿宋" w:eastAsia="仿宋" w:cs="仿宋_GB2312"/>
                <w:sz w:val="24"/>
              </w:rPr>
              <w:t>项目名称</w:t>
            </w:r>
          </w:p>
        </w:tc>
        <w:tc>
          <w:tcPr>
            <w:tcW w:w="467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ind w:firstLine="480" w:firstLineChars="200"/>
              <w:jc w:val="center"/>
              <w:rPr>
                <w:rFonts w:ascii="仿宋" w:hAnsi="仿宋" w:eastAsia="仿宋" w:cs="仿宋_GB2312"/>
                <w:sz w:val="24"/>
              </w:rPr>
            </w:pPr>
            <w:r>
              <w:rPr>
                <w:rFonts w:hint="eastAsia" w:ascii="仿宋" w:hAnsi="仿宋" w:eastAsia="仿宋" w:cs="仿宋_GB2312"/>
                <w:sz w:val="24"/>
              </w:rPr>
              <w:t>投标总报价（元）</w:t>
            </w:r>
          </w:p>
        </w:tc>
        <w:tc>
          <w:tcPr>
            <w:tcW w:w="161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ind w:firstLine="120" w:firstLineChars="50"/>
              <w:jc w:val="center"/>
              <w:rPr>
                <w:rFonts w:ascii="仿宋" w:hAnsi="仿宋" w:eastAsia="仿宋" w:cs="仿宋_GB2312"/>
                <w:sz w:val="24"/>
              </w:rPr>
            </w:pPr>
            <w:r>
              <w:rPr>
                <w:rFonts w:hint="eastAsia" w:ascii="仿宋" w:hAnsi="仿宋" w:eastAsia="仿宋" w:cs="仿宋_GB2312"/>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11" w:hRule="atLeast"/>
          <w:jc w:val="center"/>
        </w:trPr>
        <w:tc>
          <w:tcPr>
            <w:tcW w:w="289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ind w:firstLine="480" w:firstLineChars="200"/>
              <w:rPr>
                <w:rFonts w:ascii="仿宋" w:hAnsi="仿宋" w:eastAsia="仿宋" w:cs="仿宋_GB2312"/>
                <w:sz w:val="24"/>
              </w:rPr>
            </w:pPr>
          </w:p>
        </w:tc>
        <w:tc>
          <w:tcPr>
            <w:tcW w:w="467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ind w:firstLine="480" w:firstLineChars="200"/>
              <w:rPr>
                <w:rFonts w:ascii="仿宋" w:hAnsi="仿宋" w:eastAsia="仿宋" w:cs="仿宋_GB2312"/>
                <w:sz w:val="24"/>
              </w:rPr>
            </w:pPr>
            <w:r>
              <w:rPr>
                <w:rFonts w:hint="eastAsia" w:ascii="仿宋" w:hAnsi="仿宋" w:eastAsia="仿宋" w:cs="仿宋_GB2312"/>
                <w:sz w:val="24"/>
              </w:rPr>
              <w:t>大写：</w:t>
            </w:r>
          </w:p>
          <w:p>
            <w:pPr>
              <w:snapToGrid w:val="0"/>
              <w:spacing w:line="520" w:lineRule="exact"/>
              <w:ind w:firstLine="480" w:firstLineChars="200"/>
              <w:rPr>
                <w:rFonts w:ascii="仿宋" w:hAnsi="仿宋" w:eastAsia="仿宋" w:cs="仿宋_GB2312"/>
                <w:sz w:val="24"/>
              </w:rPr>
            </w:pPr>
            <w:r>
              <w:rPr>
                <w:rFonts w:hint="eastAsia" w:ascii="仿宋" w:hAnsi="仿宋" w:eastAsia="仿宋" w:cs="仿宋_GB2312"/>
                <w:sz w:val="24"/>
              </w:rPr>
              <w:t>小写：</w:t>
            </w:r>
          </w:p>
        </w:tc>
        <w:tc>
          <w:tcPr>
            <w:tcW w:w="161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ind w:firstLine="480" w:firstLineChars="200"/>
              <w:rPr>
                <w:rFonts w:ascii="仿宋" w:hAnsi="仿宋" w:eastAsia="仿宋" w:cs="仿宋_GB2312"/>
                <w:sz w:val="24"/>
              </w:rPr>
            </w:pPr>
          </w:p>
        </w:tc>
      </w:tr>
    </w:tbl>
    <w:p>
      <w:pPr>
        <w:kinsoku w:val="0"/>
        <w:topLinePunct/>
        <w:snapToGrid w:val="0"/>
        <w:spacing w:line="520" w:lineRule="exact"/>
        <w:rPr>
          <w:rFonts w:ascii="宋体"/>
          <w:sz w:val="24"/>
        </w:rPr>
      </w:pPr>
    </w:p>
    <w:p>
      <w:pPr>
        <w:kinsoku w:val="0"/>
        <w:topLinePunct/>
        <w:snapToGrid w:val="0"/>
        <w:spacing w:line="520" w:lineRule="exact"/>
        <w:rPr>
          <w:rFonts w:ascii="仿宋" w:hAnsi="仿宋" w:eastAsia="仿宋" w:cs="仿宋_GB2312"/>
          <w:sz w:val="24"/>
        </w:rPr>
      </w:pPr>
      <w:r>
        <w:rPr>
          <w:rFonts w:hint="eastAsia" w:ascii="仿宋" w:hAnsi="仿宋" w:eastAsia="仿宋" w:cs="仿宋_GB2312"/>
          <w:sz w:val="24"/>
        </w:rPr>
        <w:t>投标单位：（盖章）</w:t>
      </w:r>
    </w:p>
    <w:p>
      <w:pPr>
        <w:kinsoku w:val="0"/>
        <w:topLinePunct/>
        <w:snapToGrid w:val="0"/>
        <w:spacing w:line="520" w:lineRule="exact"/>
        <w:rPr>
          <w:rFonts w:ascii="仿宋" w:hAnsi="仿宋" w:eastAsia="仿宋"/>
          <w:sz w:val="24"/>
        </w:rPr>
      </w:pPr>
      <w:r>
        <w:rPr>
          <w:rFonts w:hint="eastAsia" w:ascii="仿宋" w:hAnsi="仿宋" w:eastAsia="仿宋" w:cs="仿宋_GB2312"/>
          <w:sz w:val="24"/>
        </w:rPr>
        <w:t>法定代表人或被授权人（签字）：</w:t>
      </w:r>
    </w:p>
    <w:p>
      <w:pPr>
        <w:kinsoku w:val="0"/>
        <w:topLinePunct/>
        <w:snapToGrid w:val="0"/>
        <w:spacing w:line="520" w:lineRule="exact"/>
        <w:rPr>
          <w:rFonts w:ascii="仿宋" w:hAnsi="仿宋" w:eastAsia="仿宋"/>
          <w:sz w:val="24"/>
        </w:rPr>
      </w:pPr>
      <w:r>
        <w:rPr>
          <w:rFonts w:hint="eastAsia" w:ascii="仿宋" w:hAnsi="仿宋" w:eastAsia="仿宋" w:cs="仿宋_GB2312"/>
          <w:sz w:val="24"/>
        </w:rPr>
        <w:t>日期：</w:t>
      </w:r>
    </w:p>
    <w:p>
      <w:pPr>
        <w:snapToGrid w:val="0"/>
        <w:spacing w:line="480" w:lineRule="exact"/>
        <w:ind w:firstLine="496" w:firstLineChars="206"/>
        <w:rPr>
          <w:rFonts w:ascii="仿宋" w:hAnsi="仿宋" w:eastAsia="仿宋"/>
          <w:b/>
          <w:bCs/>
          <w:sz w:val="24"/>
        </w:rPr>
      </w:pPr>
      <w:r>
        <w:rPr>
          <w:rFonts w:hint="eastAsia" w:ascii="仿宋" w:hAnsi="仿宋" w:eastAsia="仿宋" w:cs="仿宋_GB2312"/>
          <w:b/>
          <w:bCs/>
          <w:sz w:val="24"/>
        </w:rPr>
        <w:t>注：1、</w:t>
      </w:r>
      <w:r>
        <w:rPr>
          <w:rFonts w:hint="eastAsia" w:ascii="仿宋" w:hAnsi="仿宋" w:eastAsia="仿宋" w:cs="仿宋_GB2312"/>
          <w:sz w:val="24"/>
        </w:rPr>
        <w:t>本表为格式表，不得自行改动，必须提供。</w:t>
      </w:r>
    </w:p>
    <w:p>
      <w:pPr>
        <w:snapToGrid w:val="0"/>
        <w:spacing w:line="520" w:lineRule="exact"/>
        <w:jc w:val="center"/>
        <w:outlineLvl w:val="3"/>
        <w:rPr>
          <w:rFonts w:ascii="仿宋" w:hAnsi="仿宋" w:eastAsia="仿宋" w:cs="宋体"/>
          <w:b/>
          <w:sz w:val="24"/>
        </w:rPr>
      </w:pPr>
    </w:p>
    <w:p>
      <w:pPr>
        <w:rPr>
          <w:rFonts w:ascii="仿宋" w:hAnsi="仿宋" w:eastAsia="仿宋"/>
        </w:rPr>
      </w:pPr>
    </w:p>
    <w:p>
      <w:pPr>
        <w:spacing w:line="360" w:lineRule="auto"/>
        <w:jc w:val="center"/>
        <w:rPr>
          <w:rFonts w:ascii="宋体"/>
          <w:b/>
          <w:sz w:val="44"/>
          <w:szCs w:val="44"/>
        </w:rPr>
      </w:pPr>
    </w:p>
    <w:sectPr>
      <w:headerReference r:id="rId3" w:type="default"/>
      <w:footerReference r:id="rId4" w:type="default"/>
      <w:pgSz w:w="11907" w:h="16840"/>
      <w:pgMar w:top="1134" w:right="1417" w:bottom="1247" w:left="1134" w:header="851" w:footer="992" w:gutter="0"/>
      <w:cols w:space="72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NL/SwtAAAAADAQAADwAA&#10;AAAAAAABACAAAAAiAAAAZHJzL2Rvd25yZXYueG1sUEsBAhQAFAAAAAgAh07iQBN4Y46sAQAAPgMA&#10;AA4AAAAAAAAAAQAgAAAAHwEAAGRycy9lMm9Eb2MueG1sUEsFBgAAAAAGAAYAWQEAAD0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CC"/>
    <w:rsid w:val="0004481C"/>
    <w:rsid w:val="0005032A"/>
    <w:rsid w:val="00051105"/>
    <w:rsid w:val="0006572B"/>
    <w:rsid w:val="00087CF1"/>
    <w:rsid w:val="000A0725"/>
    <w:rsid w:val="000D1A42"/>
    <w:rsid w:val="000E2134"/>
    <w:rsid w:val="001058DA"/>
    <w:rsid w:val="0010756A"/>
    <w:rsid w:val="0012611B"/>
    <w:rsid w:val="00133FF3"/>
    <w:rsid w:val="00151963"/>
    <w:rsid w:val="0017031C"/>
    <w:rsid w:val="001756B7"/>
    <w:rsid w:val="0018382D"/>
    <w:rsid w:val="001A5F4F"/>
    <w:rsid w:val="001E30F8"/>
    <w:rsid w:val="002221CB"/>
    <w:rsid w:val="00234026"/>
    <w:rsid w:val="0029679C"/>
    <w:rsid w:val="002A1774"/>
    <w:rsid w:val="002A37FE"/>
    <w:rsid w:val="002C3636"/>
    <w:rsid w:val="002C4EF1"/>
    <w:rsid w:val="002E7224"/>
    <w:rsid w:val="002E7564"/>
    <w:rsid w:val="003333D8"/>
    <w:rsid w:val="00372718"/>
    <w:rsid w:val="003831E8"/>
    <w:rsid w:val="003940BE"/>
    <w:rsid w:val="004064B9"/>
    <w:rsid w:val="00411033"/>
    <w:rsid w:val="004308A3"/>
    <w:rsid w:val="00443674"/>
    <w:rsid w:val="004625F7"/>
    <w:rsid w:val="0048059F"/>
    <w:rsid w:val="00485A66"/>
    <w:rsid w:val="004C4BDF"/>
    <w:rsid w:val="00501EB9"/>
    <w:rsid w:val="00532DC9"/>
    <w:rsid w:val="00550860"/>
    <w:rsid w:val="00572263"/>
    <w:rsid w:val="00593203"/>
    <w:rsid w:val="005B3BA4"/>
    <w:rsid w:val="005F6519"/>
    <w:rsid w:val="006340B5"/>
    <w:rsid w:val="00651785"/>
    <w:rsid w:val="0066766B"/>
    <w:rsid w:val="00682707"/>
    <w:rsid w:val="00683CE4"/>
    <w:rsid w:val="006A3DC1"/>
    <w:rsid w:val="006A4F25"/>
    <w:rsid w:val="006B0E3E"/>
    <w:rsid w:val="006B4DF5"/>
    <w:rsid w:val="006C3F49"/>
    <w:rsid w:val="006C57E5"/>
    <w:rsid w:val="006D40E3"/>
    <w:rsid w:val="00703CD2"/>
    <w:rsid w:val="00733F18"/>
    <w:rsid w:val="00743DEC"/>
    <w:rsid w:val="007563CD"/>
    <w:rsid w:val="0078261F"/>
    <w:rsid w:val="00786B4C"/>
    <w:rsid w:val="0078760D"/>
    <w:rsid w:val="007A32EB"/>
    <w:rsid w:val="007B2DFC"/>
    <w:rsid w:val="007C5B48"/>
    <w:rsid w:val="007E0766"/>
    <w:rsid w:val="007E0DC8"/>
    <w:rsid w:val="007F031A"/>
    <w:rsid w:val="00814B11"/>
    <w:rsid w:val="0085222A"/>
    <w:rsid w:val="00855562"/>
    <w:rsid w:val="00880116"/>
    <w:rsid w:val="008F053C"/>
    <w:rsid w:val="00906E38"/>
    <w:rsid w:val="009442A2"/>
    <w:rsid w:val="00971ACA"/>
    <w:rsid w:val="009817C0"/>
    <w:rsid w:val="00986C28"/>
    <w:rsid w:val="009A29AF"/>
    <w:rsid w:val="009B2DD2"/>
    <w:rsid w:val="009C255C"/>
    <w:rsid w:val="009C517C"/>
    <w:rsid w:val="009F33E1"/>
    <w:rsid w:val="00A060CC"/>
    <w:rsid w:val="00A11682"/>
    <w:rsid w:val="00A11DD2"/>
    <w:rsid w:val="00A356FF"/>
    <w:rsid w:val="00A455C7"/>
    <w:rsid w:val="00A57369"/>
    <w:rsid w:val="00A77E73"/>
    <w:rsid w:val="00A970CA"/>
    <w:rsid w:val="00A97429"/>
    <w:rsid w:val="00AC0599"/>
    <w:rsid w:val="00AC3893"/>
    <w:rsid w:val="00B03112"/>
    <w:rsid w:val="00B21774"/>
    <w:rsid w:val="00B248B9"/>
    <w:rsid w:val="00B35F25"/>
    <w:rsid w:val="00B65511"/>
    <w:rsid w:val="00B72EF4"/>
    <w:rsid w:val="00B767FA"/>
    <w:rsid w:val="00B86C94"/>
    <w:rsid w:val="00B96805"/>
    <w:rsid w:val="00BF6975"/>
    <w:rsid w:val="00C170DD"/>
    <w:rsid w:val="00C1781E"/>
    <w:rsid w:val="00C21944"/>
    <w:rsid w:val="00C252FD"/>
    <w:rsid w:val="00C46229"/>
    <w:rsid w:val="00C464F2"/>
    <w:rsid w:val="00C7135D"/>
    <w:rsid w:val="00C84C48"/>
    <w:rsid w:val="00C90AF2"/>
    <w:rsid w:val="00CC7026"/>
    <w:rsid w:val="00CC7CD2"/>
    <w:rsid w:val="00CE0535"/>
    <w:rsid w:val="00CF1553"/>
    <w:rsid w:val="00D041F2"/>
    <w:rsid w:val="00D14AA3"/>
    <w:rsid w:val="00DB2AF9"/>
    <w:rsid w:val="00DB5886"/>
    <w:rsid w:val="00DB73E0"/>
    <w:rsid w:val="00DE785F"/>
    <w:rsid w:val="00E43869"/>
    <w:rsid w:val="00E52E23"/>
    <w:rsid w:val="00E53E20"/>
    <w:rsid w:val="00E672E6"/>
    <w:rsid w:val="00E85B1C"/>
    <w:rsid w:val="00E97F15"/>
    <w:rsid w:val="00EB11A8"/>
    <w:rsid w:val="00EE2A68"/>
    <w:rsid w:val="00EF3D76"/>
    <w:rsid w:val="00F04C75"/>
    <w:rsid w:val="00F338C4"/>
    <w:rsid w:val="00F5311C"/>
    <w:rsid w:val="00F6326C"/>
    <w:rsid w:val="00F72216"/>
    <w:rsid w:val="793677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9"/>
    <w:pPr>
      <w:keepNext/>
      <w:tabs>
        <w:tab w:val="left" w:pos="5670"/>
      </w:tabs>
      <w:spacing w:beforeLines="100" w:afterLines="100" w:line="360" w:lineRule="auto"/>
      <w:outlineLvl w:val="0"/>
    </w:pPr>
    <w:rPr>
      <w:rFonts w:ascii="黑体" w:hAnsi="宋体" w:eastAsia="黑体"/>
      <w:b/>
      <w:kern w:val="44"/>
      <w:sz w:val="28"/>
      <w:szCs w:val="28"/>
    </w:rPr>
  </w:style>
  <w:style w:type="paragraph" w:styleId="3">
    <w:name w:val="heading 2"/>
    <w:basedOn w:val="1"/>
    <w:next w:val="4"/>
    <w:link w:val="22"/>
    <w:qFormat/>
    <w:uiPriority w:val="99"/>
    <w:pPr>
      <w:keepNext/>
      <w:keepLines/>
      <w:spacing w:before="360" w:after="100" w:afterAutospacing="1"/>
      <w:jc w:val="center"/>
      <w:outlineLvl w:val="1"/>
    </w:pPr>
    <w:rPr>
      <w:rFonts w:ascii="仿宋_GB2312" w:hAnsi="Arial" w:eastAsia="仿宋_GB2312"/>
      <w:b/>
      <w:sz w:val="28"/>
      <w:szCs w:val="28"/>
    </w:rPr>
  </w:style>
  <w:style w:type="paragraph" w:styleId="5">
    <w:name w:val="heading 3"/>
    <w:basedOn w:val="1"/>
    <w:next w:val="4"/>
    <w:link w:val="23"/>
    <w:qFormat/>
    <w:uiPriority w:val="99"/>
    <w:pPr>
      <w:keepNext/>
      <w:keepLines/>
      <w:spacing w:before="120" w:after="120"/>
      <w:outlineLvl w:val="2"/>
    </w:pPr>
    <w:rPr>
      <w:rFonts w:eastAsia="黑体"/>
      <w:b/>
      <w:sz w:val="24"/>
    </w:rPr>
  </w:style>
  <w:style w:type="character" w:default="1" w:styleId="18">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24"/>
    <w:qFormat/>
    <w:uiPriority w:val="99"/>
    <w:pPr>
      <w:ind w:firstLine="420"/>
    </w:pPr>
    <w:rPr>
      <w:rFonts w:ascii="Calibri" w:hAnsi="Calibri"/>
      <w:kern w:val="0"/>
      <w:sz w:val="20"/>
      <w:szCs w:val="20"/>
    </w:rPr>
  </w:style>
  <w:style w:type="paragraph" w:styleId="6">
    <w:name w:val="Document Map"/>
    <w:basedOn w:val="1"/>
    <w:link w:val="27"/>
    <w:semiHidden/>
    <w:qFormat/>
    <w:uiPriority w:val="99"/>
    <w:pPr>
      <w:shd w:val="clear" w:color="auto" w:fill="000080"/>
    </w:pPr>
  </w:style>
  <w:style w:type="paragraph" w:styleId="7">
    <w:name w:val="Body Text Indent"/>
    <w:basedOn w:val="1"/>
    <w:link w:val="38"/>
    <w:semiHidden/>
    <w:unhideWhenUsed/>
    <w:qFormat/>
    <w:locked/>
    <w:uiPriority w:val="99"/>
    <w:pPr>
      <w:spacing w:after="120"/>
      <w:ind w:left="420" w:leftChars="200"/>
    </w:pPr>
  </w:style>
  <w:style w:type="paragraph" w:styleId="8">
    <w:name w:val="Plain Text"/>
    <w:basedOn w:val="1"/>
    <w:link w:val="29"/>
    <w:qFormat/>
    <w:uiPriority w:val="99"/>
    <w:rPr>
      <w:rFonts w:ascii="宋体" w:hAnsi="Courier New"/>
      <w:szCs w:val="20"/>
    </w:rPr>
  </w:style>
  <w:style w:type="paragraph" w:styleId="9">
    <w:name w:val="Body Text Indent 2"/>
    <w:basedOn w:val="1"/>
    <w:link w:val="28"/>
    <w:qFormat/>
    <w:uiPriority w:val="99"/>
    <w:pPr>
      <w:spacing w:after="120" w:line="480" w:lineRule="auto"/>
      <w:ind w:left="200" w:leftChars="200"/>
    </w:pPr>
  </w:style>
  <w:style w:type="paragraph" w:styleId="10">
    <w:name w:val="Balloon Text"/>
    <w:basedOn w:val="1"/>
    <w:link w:val="25"/>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仿宋_GB2312" w:cs="仿宋_GB2312"/>
      <w:kern w:val="0"/>
      <w:szCs w:val="32"/>
    </w:rPr>
  </w:style>
  <w:style w:type="paragraph" w:styleId="14">
    <w:name w:val="index 1"/>
    <w:basedOn w:val="1"/>
    <w:next w:val="1"/>
    <w:qFormat/>
    <w:uiPriority w:val="99"/>
    <w:pPr>
      <w:jc w:val="center"/>
    </w:pPr>
    <w:rPr>
      <w:b/>
      <w:bCs/>
      <w:color w:val="000000"/>
      <w:sz w:val="28"/>
      <w:szCs w:val="20"/>
    </w:rPr>
  </w:style>
  <w:style w:type="paragraph" w:styleId="15">
    <w:name w:val="Body Text First Indent 2"/>
    <w:basedOn w:val="7"/>
    <w:link w:val="39"/>
    <w:semiHidden/>
    <w:unhideWhenUsed/>
    <w:locked/>
    <w:uiPriority w:val="99"/>
    <w:pPr>
      <w:ind w:firstLine="420" w:firstLineChars="200"/>
    </w:p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page number"/>
    <w:qFormat/>
    <w:uiPriority w:val="99"/>
    <w:rPr>
      <w:rFonts w:cs="Times New Roman"/>
    </w:rPr>
  </w:style>
  <w:style w:type="character" w:styleId="20">
    <w:name w:val="Hyperlink"/>
    <w:qFormat/>
    <w:uiPriority w:val="99"/>
    <w:rPr>
      <w:rFonts w:cs="Times New Roman"/>
      <w:color w:val="0000FF"/>
      <w:u w:val="single"/>
    </w:rPr>
  </w:style>
  <w:style w:type="character" w:customStyle="1" w:styleId="21">
    <w:name w:val="标题 1 Char"/>
    <w:link w:val="2"/>
    <w:qFormat/>
    <w:locked/>
    <w:uiPriority w:val="99"/>
    <w:rPr>
      <w:rFonts w:ascii="黑体" w:hAnsi="宋体" w:eastAsia="黑体" w:cs="Times New Roman"/>
      <w:b/>
      <w:kern w:val="44"/>
      <w:sz w:val="28"/>
      <w:szCs w:val="28"/>
    </w:rPr>
  </w:style>
  <w:style w:type="character" w:customStyle="1" w:styleId="22">
    <w:name w:val="标题 2 Char"/>
    <w:link w:val="3"/>
    <w:qFormat/>
    <w:locked/>
    <w:uiPriority w:val="99"/>
    <w:rPr>
      <w:rFonts w:ascii="仿宋_GB2312" w:hAnsi="Arial" w:eastAsia="仿宋_GB2312" w:cs="Times New Roman"/>
      <w:b/>
      <w:sz w:val="28"/>
      <w:szCs w:val="28"/>
    </w:rPr>
  </w:style>
  <w:style w:type="character" w:customStyle="1" w:styleId="23">
    <w:name w:val="标题 3 Char"/>
    <w:link w:val="5"/>
    <w:qFormat/>
    <w:locked/>
    <w:uiPriority w:val="99"/>
    <w:rPr>
      <w:rFonts w:ascii="Times New Roman" w:hAnsi="Times New Roman" w:eastAsia="黑体" w:cs="Times New Roman"/>
      <w:b/>
      <w:sz w:val="24"/>
      <w:szCs w:val="24"/>
    </w:rPr>
  </w:style>
  <w:style w:type="character" w:customStyle="1" w:styleId="24">
    <w:name w:val="正文缩进 Char"/>
    <w:link w:val="4"/>
    <w:qFormat/>
    <w:locked/>
    <w:uiPriority w:val="99"/>
    <w:rPr>
      <w:rFonts w:eastAsia="宋体"/>
    </w:rPr>
  </w:style>
  <w:style w:type="character" w:customStyle="1" w:styleId="25">
    <w:name w:val="批注框文本 Char"/>
    <w:link w:val="10"/>
    <w:qFormat/>
    <w:locked/>
    <w:uiPriority w:val="99"/>
    <w:rPr>
      <w:rFonts w:ascii="Times New Roman" w:hAnsi="Times New Roman" w:eastAsia="宋体" w:cs="Times New Roman"/>
      <w:sz w:val="18"/>
      <w:szCs w:val="18"/>
    </w:rPr>
  </w:style>
  <w:style w:type="paragraph" w:customStyle="1" w:styleId="26">
    <w:name w:val="p0"/>
    <w:basedOn w:val="1"/>
    <w:qFormat/>
    <w:uiPriority w:val="99"/>
    <w:pPr>
      <w:widowControl/>
    </w:pPr>
    <w:rPr>
      <w:kern w:val="0"/>
      <w:szCs w:val="21"/>
    </w:rPr>
  </w:style>
  <w:style w:type="character" w:customStyle="1" w:styleId="27">
    <w:name w:val="文档结构图 Char"/>
    <w:link w:val="6"/>
    <w:semiHidden/>
    <w:qFormat/>
    <w:locked/>
    <w:uiPriority w:val="99"/>
    <w:rPr>
      <w:rFonts w:ascii="Times New Roman" w:hAnsi="Times New Roman" w:eastAsia="宋体" w:cs="Times New Roman"/>
      <w:sz w:val="24"/>
      <w:szCs w:val="24"/>
      <w:shd w:val="clear" w:color="auto" w:fill="000080"/>
    </w:rPr>
  </w:style>
  <w:style w:type="character" w:customStyle="1" w:styleId="28">
    <w:name w:val="正文文本缩进 2 Char"/>
    <w:link w:val="9"/>
    <w:qFormat/>
    <w:locked/>
    <w:uiPriority w:val="99"/>
    <w:rPr>
      <w:rFonts w:ascii="Times New Roman" w:hAnsi="Times New Roman" w:eastAsia="宋体" w:cs="Times New Roman"/>
      <w:sz w:val="24"/>
      <w:szCs w:val="24"/>
    </w:rPr>
  </w:style>
  <w:style w:type="character" w:customStyle="1" w:styleId="29">
    <w:name w:val="纯文本 Char"/>
    <w:link w:val="8"/>
    <w:qFormat/>
    <w:locked/>
    <w:uiPriority w:val="99"/>
    <w:rPr>
      <w:rFonts w:ascii="宋体" w:hAnsi="Courier New" w:eastAsia="宋体" w:cs="Times New Roman"/>
      <w:sz w:val="20"/>
      <w:szCs w:val="20"/>
    </w:rPr>
  </w:style>
  <w:style w:type="character" w:customStyle="1" w:styleId="30">
    <w:name w:val="页眉 Char"/>
    <w:link w:val="12"/>
    <w:qFormat/>
    <w:locked/>
    <w:uiPriority w:val="99"/>
    <w:rPr>
      <w:rFonts w:ascii="Times New Roman" w:hAnsi="Times New Roman" w:eastAsia="宋体" w:cs="Times New Roman"/>
      <w:sz w:val="18"/>
      <w:szCs w:val="18"/>
    </w:rPr>
  </w:style>
  <w:style w:type="character" w:customStyle="1" w:styleId="31">
    <w:name w:val="页脚 Char"/>
    <w:link w:val="11"/>
    <w:qFormat/>
    <w:locked/>
    <w:uiPriority w:val="99"/>
    <w:rPr>
      <w:rFonts w:ascii="Times New Roman" w:hAnsi="Times New Roman" w:eastAsia="宋体" w:cs="Times New Roman"/>
      <w:sz w:val="18"/>
      <w:szCs w:val="18"/>
    </w:rPr>
  </w:style>
  <w:style w:type="paragraph" w:customStyle="1" w:styleId="32">
    <w:name w:val="正文子项 Char Char Char Char Char Char Char Char Char"/>
    <w:basedOn w:val="1"/>
    <w:qFormat/>
    <w:uiPriority w:val="99"/>
    <w:pPr>
      <w:widowControl/>
      <w:spacing w:line="360" w:lineRule="auto"/>
      <w:ind w:left="-120" w:hanging="420"/>
      <w:jc w:val="left"/>
    </w:pPr>
    <w:rPr>
      <w:rFonts w:ascii="Arial" w:hAnsi="Arial"/>
      <w:spacing w:val="30"/>
      <w:kern w:val="0"/>
      <w:sz w:val="28"/>
      <w:szCs w:val="28"/>
    </w:rPr>
  </w:style>
  <w:style w:type="paragraph" w:customStyle="1" w:styleId="33">
    <w:name w:val="Char Char Char Char Char Char Char Char Char Char Char Char Char"/>
    <w:basedOn w:val="6"/>
    <w:qFormat/>
    <w:uiPriority w:val="99"/>
    <w:rPr>
      <w:kern w:val="0"/>
      <w:sz w:val="24"/>
    </w:rPr>
  </w:style>
  <w:style w:type="paragraph" w:customStyle="1" w:styleId="34">
    <w:name w:val="Char Char1 Char Char Char Char Char Char Char"/>
    <w:basedOn w:val="1"/>
    <w:qFormat/>
    <w:uiPriority w:val="99"/>
  </w:style>
  <w:style w:type="paragraph" w:customStyle="1" w:styleId="35">
    <w:name w:val="Char Char Char1 Char"/>
    <w:basedOn w:val="3"/>
    <w:next w:val="1"/>
    <w:qFormat/>
    <w:uiPriority w:val="99"/>
    <w:pPr>
      <w:snapToGrid w:val="0"/>
      <w:spacing w:before="120" w:after="120" w:afterAutospacing="0"/>
      <w:jc w:val="left"/>
    </w:pPr>
    <w:rPr>
      <w:rFonts w:ascii="Arial" w:eastAsia="黑体"/>
      <w:bCs/>
      <w:sz w:val="32"/>
      <w:szCs w:val="32"/>
    </w:rPr>
  </w:style>
  <w:style w:type="paragraph" w:customStyle="1" w:styleId="36">
    <w:name w:val="Char Char7 Char"/>
    <w:basedOn w:val="1"/>
    <w:uiPriority w:val="99"/>
    <w:pPr>
      <w:tabs>
        <w:tab w:val="left" w:pos="425"/>
      </w:tabs>
      <w:ind w:left="420" w:leftChars="200" w:firstLine="270" w:firstLineChars="150"/>
    </w:pPr>
  </w:style>
  <w:style w:type="character" w:customStyle="1" w:styleId="37">
    <w:name w:val="纯文本 Char1"/>
    <w:uiPriority w:val="99"/>
    <w:rPr>
      <w:rFonts w:ascii="宋体" w:hAnsi="Courier New" w:eastAsia="楷体_GB2312"/>
      <w:kern w:val="2"/>
      <w:sz w:val="26"/>
    </w:rPr>
  </w:style>
  <w:style w:type="character" w:customStyle="1" w:styleId="38">
    <w:name w:val="正文文本缩进 Char"/>
    <w:basedOn w:val="18"/>
    <w:link w:val="7"/>
    <w:semiHidden/>
    <w:uiPriority w:val="99"/>
    <w:rPr>
      <w:rFonts w:ascii="Times New Roman" w:hAnsi="Times New Roman"/>
      <w:kern w:val="2"/>
      <w:sz w:val="21"/>
      <w:szCs w:val="24"/>
    </w:rPr>
  </w:style>
  <w:style w:type="character" w:customStyle="1" w:styleId="39">
    <w:name w:val="正文首行缩进 2 Char"/>
    <w:basedOn w:val="38"/>
    <w:link w:val="15"/>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3E2B6-2C91-4F84-8909-1718F99AFF3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978</Words>
  <Characters>5578</Characters>
  <Lines>46</Lines>
  <Paragraphs>13</Paragraphs>
  <TotalTime>853</TotalTime>
  <ScaleCrop>false</ScaleCrop>
  <LinksUpToDate>false</LinksUpToDate>
  <CharactersWithSpaces>6543</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2018-12-25T10:07:00Z</dcterms:created>
  <dc:creator>edtg</dc:creator>
  <cp:lastModifiedBy>FREE</cp:lastModifiedBy>
  <dcterms:modified xsi:type="dcterms:W3CDTF">2020-01-31T11:28:29Z</dcterms:modified>
  <dc:title>海门市卫生和计划生育委员会</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